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459A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459AB" w:rsidRDefault="002472A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D459AB" w:rsidRDefault="002472A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Agarose</w:t>
      </w:r>
    </w:p>
    <w:p w:rsidR="00D459AB" w:rsidRDefault="002472A1" w:rsidP="00472A43">
      <w:pPr>
        <w:spacing w:beforeLines="50" w:before="156" w:afterLines="50" w:after="156" w:line="440" w:lineRule="exact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DA003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100g      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</w:t>
      </w:r>
    </w:p>
    <w:p w:rsidR="00D459AB" w:rsidRDefault="002472A1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琼脂糖作为凝胶电泳常用支持物，其纯度会直接影响</w:t>
      </w:r>
      <w:r>
        <w:rPr>
          <w:rFonts w:ascii="Times New Roman" w:hAnsi="Times New Roman" w:cs="Times New Roman"/>
          <w:sz w:val="24"/>
        </w:rPr>
        <w:t xml:space="preserve"> DNA</w:t>
      </w:r>
      <w:r>
        <w:rPr>
          <w:rFonts w:ascii="Times New Roman" w:hAnsi="Times New Roman" w:cs="Times New Roman"/>
          <w:sz w:val="24"/>
        </w:rPr>
        <w:t>的分辨能力及电泳结果的清晰度。</w:t>
      </w:r>
      <w:r>
        <w:rPr>
          <w:rFonts w:ascii="Times New Roman" w:hAnsi="Times New Roman" w:cs="Times New Roman"/>
          <w:sz w:val="24"/>
        </w:rPr>
        <w:t>Agarose</w:t>
      </w:r>
      <w:r>
        <w:rPr>
          <w:rFonts w:ascii="Times New Roman" w:hAnsi="Times New Roman" w:cs="Times New Roman"/>
          <w:sz w:val="24"/>
        </w:rPr>
        <w:t>为高纯度的琼脂糖，通常配置成浓度为</w:t>
      </w:r>
      <w:r>
        <w:rPr>
          <w:rFonts w:ascii="Times New Roman" w:hAnsi="Times New Roman" w:cs="Times New Roman"/>
          <w:sz w:val="24"/>
        </w:rPr>
        <w:t>0.5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2%</w:t>
      </w:r>
      <w:r>
        <w:rPr>
          <w:rFonts w:ascii="Times New Roman" w:hAnsi="Times New Roman" w:cs="Times New Roman"/>
          <w:sz w:val="24"/>
        </w:rPr>
        <w:t>的琼脂糖凝胶，用于分离、鉴定核酸，如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鉴定、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限制性内切核酸酶图谱制作等。加入核酸荧光染料，使用凝胶成像扫描仪，即可观察电泳结束后的核酸条带。</w:t>
      </w:r>
    </w:p>
    <w:p w:rsidR="00D459AB" w:rsidRDefault="002472A1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4998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3194"/>
        <w:gridCol w:w="3274"/>
        <w:gridCol w:w="3274"/>
      </w:tblGrid>
      <w:tr w:rsidR="00D459AB">
        <w:trPr>
          <w:trHeight w:hRule="exact" w:val="334"/>
        </w:trPr>
        <w:tc>
          <w:tcPr>
            <w:tcW w:w="1639" w:type="pct"/>
            <w:tcBorders>
              <w:left w:val="nil"/>
              <w:right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680" w:type="pct"/>
            <w:tcBorders>
              <w:left w:val="nil"/>
              <w:right w:val="nil"/>
            </w:tcBorders>
            <w:vAlign w:val="center"/>
          </w:tcPr>
          <w:p w:rsidR="00D459AB" w:rsidRDefault="002472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DA003-0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100g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80" w:type="pct"/>
            <w:tcBorders>
              <w:left w:val="nil"/>
              <w:right w:val="nil"/>
            </w:tcBorders>
            <w:vAlign w:val="center"/>
          </w:tcPr>
          <w:p w:rsidR="00D459AB" w:rsidRDefault="002472A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DA003-02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100g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D459AB">
        <w:trPr>
          <w:trHeight w:hRule="exact" w:val="334"/>
        </w:trPr>
        <w:tc>
          <w:tcPr>
            <w:tcW w:w="1639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Agarose</w:t>
            </w:r>
          </w:p>
        </w:tc>
        <w:tc>
          <w:tcPr>
            <w:tcW w:w="1680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100g</w:t>
            </w:r>
          </w:p>
        </w:tc>
        <w:tc>
          <w:tcPr>
            <w:tcW w:w="1680" w:type="pct"/>
            <w:tcBorders>
              <w:left w:val="nil"/>
              <w:bottom w:val="single" w:sz="2" w:space="0" w:color="3E3E3F"/>
              <w:right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100g</w:t>
            </w:r>
          </w:p>
        </w:tc>
      </w:tr>
    </w:tbl>
    <w:p w:rsidR="00D459AB" w:rsidRDefault="002472A1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凝胶强度（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凝胶）：</w:t>
      </w:r>
      <w:r>
        <w:rPr>
          <w:rFonts w:ascii="Times New Roman" w:hAnsi="Times New Roman" w:cs="Times New Roman"/>
          <w:sz w:val="24"/>
        </w:rPr>
        <w:t>&gt;1200g/cm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；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电渗（</w:t>
      </w:r>
      <w:r>
        <w:rPr>
          <w:rFonts w:ascii="Times New Roman" w:hAnsi="Times New Roman" w:cs="Times New Roman"/>
          <w:sz w:val="24"/>
        </w:rPr>
        <w:t>EEO</w:t>
      </w:r>
      <w:r>
        <w:rPr>
          <w:rFonts w:ascii="Times New Roman" w:hAnsi="Times New Roman" w:cs="Times New Roman"/>
          <w:sz w:val="24"/>
        </w:rPr>
        <w:t>）：</w:t>
      </w:r>
      <w:r>
        <w:rPr>
          <w:rFonts w:ascii="Times New Roman" w:hAnsi="Times New Roman" w:cs="Times New Roman"/>
          <w:sz w:val="24"/>
        </w:rPr>
        <w:t>&lt;0.15</w:t>
      </w:r>
      <w:r>
        <w:rPr>
          <w:rFonts w:ascii="Times New Roman" w:hAnsi="Times New Roman" w:cs="Times New Roman"/>
          <w:sz w:val="24"/>
        </w:rPr>
        <w:t>；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硫化物：</w:t>
      </w:r>
      <w:r>
        <w:rPr>
          <w:rFonts w:ascii="宋体" w:eastAsia="宋体" w:hAnsi="宋体" w:cs="宋体"/>
          <w:sz w:val="24"/>
        </w:rPr>
        <w:t>≤</w:t>
      </w:r>
      <w:r>
        <w:rPr>
          <w:rFonts w:ascii="Times New Roman" w:hAnsi="Times New Roman" w:cs="Times New Roman"/>
          <w:sz w:val="24"/>
        </w:rPr>
        <w:t>0.15%</w:t>
      </w:r>
      <w:r>
        <w:rPr>
          <w:rFonts w:ascii="Times New Roman" w:hAnsi="Times New Roman" w:cs="Times New Roman"/>
          <w:sz w:val="24"/>
        </w:rPr>
        <w:t>；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凝胶温度（</w:t>
      </w:r>
      <w:r>
        <w:rPr>
          <w:rFonts w:ascii="Times New Roman" w:hAnsi="Times New Roman" w:cs="Times New Roman"/>
          <w:sz w:val="24"/>
        </w:rPr>
        <w:t>1.5%</w:t>
      </w:r>
      <w:r>
        <w:rPr>
          <w:rFonts w:ascii="Times New Roman" w:hAnsi="Times New Roman" w:cs="Times New Roman"/>
          <w:sz w:val="24"/>
        </w:rPr>
        <w:t>凝胶）：</w:t>
      </w:r>
      <w:r>
        <w:rPr>
          <w:rFonts w:ascii="Times New Roman" w:hAnsi="Times New Roman" w:cs="Times New Roman"/>
          <w:sz w:val="24"/>
        </w:rPr>
        <w:t>35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；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熔胶温度（</w:t>
      </w:r>
      <w:r>
        <w:rPr>
          <w:rFonts w:ascii="Times New Roman" w:hAnsi="Times New Roman" w:cs="Times New Roman"/>
          <w:sz w:val="24"/>
        </w:rPr>
        <w:t>1.5%</w:t>
      </w:r>
      <w:r>
        <w:rPr>
          <w:rFonts w:ascii="Times New Roman" w:hAnsi="Times New Roman" w:cs="Times New Roman"/>
          <w:sz w:val="24"/>
        </w:rPr>
        <w:t>凝胶）：</w:t>
      </w:r>
      <w:r>
        <w:rPr>
          <w:rFonts w:ascii="Times New Roman" w:hAnsi="Times New Roman" w:cs="Times New Roman"/>
          <w:sz w:val="24"/>
        </w:rPr>
        <w:t>87</w:t>
      </w:r>
      <w:r>
        <w:rPr>
          <w:rFonts w:ascii="Times New Roman" w:hAnsi="Times New Roman" w:cs="Times New Roman" w:hint="eastAsia"/>
          <w:sz w:val="24"/>
        </w:rPr>
        <w:t>-</w:t>
      </w:r>
      <w:r>
        <w:rPr>
          <w:rFonts w:ascii="Times New Roman" w:hAnsi="Times New Roman" w:cs="Times New Roman"/>
          <w:sz w:val="24"/>
        </w:rPr>
        <w:t>89℃</w:t>
      </w:r>
      <w:r>
        <w:rPr>
          <w:rFonts w:ascii="Times New Roman" w:hAnsi="Times New Roman" w:cs="Times New Roman"/>
          <w:sz w:val="24"/>
        </w:rPr>
        <w:t>；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水分：</w:t>
      </w:r>
      <w:r>
        <w:rPr>
          <w:rFonts w:ascii="宋体" w:eastAsia="宋体" w:hAnsi="宋体" w:cs="宋体" w:hint="eastAsia"/>
          <w:sz w:val="24"/>
        </w:rPr>
        <w:t>≤</w:t>
      </w:r>
      <w:r>
        <w:rPr>
          <w:rFonts w:ascii="Times New Roman" w:hAnsi="Times New Roman" w:cs="Times New Roman"/>
          <w:sz w:val="24"/>
        </w:rPr>
        <w:t>10%</w:t>
      </w:r>
      <w:r>
        <w:rPr>
          <w:rFonts w:ascii="Times New Roman" w:hAnsi="Times New Roman" w:cs="Times New Roman"/>
          <w:sz w:val="24"/>
        </w:rPr>
        <w:t>；</w:t>
      </w:r>
    </w:p>
    <w:p w:rsidR="00D459AB" w:rsidRDefault="002472A1">
      <w:pPr>
        <w:widowControl/>
        <w:spacing w:line="460" w:lineRule="atLeas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核酸酶不得检出。</w:t>
      </w:r>
    </w:p>
    <w:p w:rsidR="00D459AB" w:rsidRDefault="002472A1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459AB" w:rsidRDefault="002472A1">
      <w:pPr>
        <w:numPr>
          <w:ilvl w:val="0"/>
          <w:numId w:val="1"/>
        </w:numPr>
        <w:spacing w:line="460" w:lineRule="atLeast"/>
        <w:ind w:firstLineChars="200" w:firstLine="4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依据目的核酸片段大小及电泳缓冲液类型，确定所需琼脂糖浓度</w:t>
      </w:r>
      <w:r>
        <w:rPr>
          <w:rFonts w:ascii="Times New Roman" w:hAnsi="Times New Roman" w:cs="Times New Roman" w:hint="eastAsia"/>
          <w:spacing w:val="-4"/>
          <w:sz w:val="24"/>
        </w:rPr>
        <w:t>：</w:t>
      </w:r>
    </w:p>
    <w:p w:rsidR="00D459AB" w:rsidRDefault="00D459AB">
      <w:pPr>
        <w:spacing w:line="240" w:lineRule="atLeast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TableNormal"/>
        <w:tblW w:w="4993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3104"/>
        <w:gridCol w:w="3313"/>
        <w:gridCol w:w="3315"/>
      </w:tblGrid>
      <w:tr w:rsidR="00D459AB">
        <w:trPr>
          <w:trHeight w:val="334"/>
        </w:trPr>
        <w:tc>
          <w:tcPr>
            <w:tcW w:w="1594" w:type="pct"/>
            <w:vMerge w:val="restart"/>
            <w:tcBorders>
              <w:top w:val="single" w:sz="2" w:space="0" w:color="3E3E3F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琼脂糖浓度</w:t>
            </w:r>
          </w:p>
        </w:tc>
        <w:tc>
          <w:tcPr>
            <w:tcW w:w="3405" w:type="pct"/>
            <w:gridSpan w:val="2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理想线形分辨范围（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</w:rPr>
              <w:t>）</w:t>
            </w:r>
          </w:p>
        </w:tc>
      </w:tr>
      <w:tr w:rsidR="00D459AB">
        <w:trPr>
          <w:trHeight w:val="334"/>
        </w:trPr>
        <w:tc>
          <w:tcPr>
            <w:tcW w:w="1594" w:type="pct"/>
            <w:vMerge/>
            <w:tcBorders>
              <w:bottom w:val="nil"/>
            </w:tcBorders>
          </w:tcPr>
          <w:p w:rsidR="00D459AB" w:rsidRDefault="00D459A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pct"/>
            <w:tcBorders>
              <w:top w:val="single" w:sz="2" w:space="0" w:color="3E3E3F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1× TAE</w:t>
            </w:r>
          </w:p>
        </w:tc>
        <w:tc>
          <w:tcPr>
            <w:tcW w:w="1702" w:type="pct"/>
            <w:tcBorders>
              <w:top w:val="single" w:sz="2" w:space="0" w:color="3E3E3F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1× TBE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nil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0.6%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1200-15000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1200-12000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nil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0.8%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1000-10000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1000-12000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nil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1.0%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200-10000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100-10000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nil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1.2%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100-8000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100-5000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nil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1.5%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100-5000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50-3000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nil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2.0%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50-3000</w:t>
            </w:r>
          </w:p>
        </w:tc>
        <w:tc>
          <w:tcPr>
            <w:tcW w:w="1702" w:type="pct"/>
            <w:tcBorders>
              <w:top w:val="nil"/>
              <w:bottom w:val="nil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50-3000</w:t>
            </w:r>
          </w:p>
        </w:tc>
      </w:tr>
      <w:tr w:rsidR="00D459AB">
        <w:trPr>
          <w:trHeight w:val="334"/>
        </w:trPr>
        <w:tc>
          <w:tcPr>
            <w:tcW w:w="1594" w:type="pct"/>
            <w:tcBorders>
              <w:top w:val="nil"/>
              <w:bottom w:val="single" w:sz="2" w:space="0" w:color="3E3E3F"/>
            </w:tcBorders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2.5%</w:t>
            </w:r>
          </w:p>
        </w:tc>
        <w:tc>
          <w:tcPr>
            <w:tcW w:w="1702" w:type="pct"/>
            <w:tcBorders>
              <w:top w:val="nil"/>
              <w:bottom w:val="single" w:sz="2" w:space="0" w:color="3E3E3F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50-3000</w:t>
            </w:r>
          </w:p>
        </w:tc>
        <w:tc>
          <w:tcPr>
            <w:tcW w:w="1702" w:type="pct"/>
            <w:tcBorders>
              <w:top w:val="nil"/>
              <w:bottom w:val="single" w:sz="2" w:space="0" w:color="3E3E3F"/>
            </w:tcBorders>
            <w:vAlign w:val="center"/>
          </w:tcPr>
          <w:p w:rsidR="00D459AB" w:rsidRDefault="002472A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50-2000</w:t>
            </w:r>
          </w:p>
        </w:tc>
      </w:tr>
    </w:tbl>
    <w:p w:rsidR="00D459AB" w:rsidRDefault="00D459AB">
      <w:pPr>
        <w:spacing w:line="240" w:lineRule="atLeast"/>
        <w:rPr>
          <w:rFonts w:ascii="Times New Roman" w:hAnsi="Times New Roman" w:cs="Times New Roman"/>
          <w:spacing w:val="4"/>
        </w:rPr>
      </w:pPr>
    </w:p>
    <w:p w:rsidR="00D459AB" w:rsidRDefault="00D459AB">
      <w:pPr>
        <w:spacing w:line="240" w:lineRule="atLeast"/>
        <w:rPr>
          <w:rFonts w:ascii="Times New Roman" w:hAnsi="Times New Roman" w:cs="Times New Roman"/>
          <w:spacing w:val="4"/>
        </w:rPr>
      </w:pPr>
    </w:p>
    <w:p w:rsidR="00D459AB" w:rsidRDefault="002472A1" w:rsidP="00472A43">
      <w:pPr>
        <w:widowControl/>
        <w:numPr>
          <w:ilvl w:val="0"/>
          <w:numId w:val="1"/>
        </w:numPr>
        <w:spacing w:beforeLines="50" w:before="156" w:line="460" w:lineRule="exact"/>
        <w:ind w:firstLineChars="200" w:firstLine="4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lastRenderedPageBreak/>
        <w:t>琼脂糖凝胶制备（以水平电泳琼脂糖凝胶制备为例）：</w:t>
      </w:r>
    </w:p>
    <w:p w:rsidR="00D459AB" w:rsidRDefault="002472A1">
      <w:pPr>
        <w:widowControl/>
        <w:spacing w:line="460" w:lineRule="exact"/>
        <w:ind w:firstLineChars="200" w:firstLine="472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根据制胶量及凝胶浓度，量取一定量的电泳缓冲液（</w:t>
      </w:r>
      <w:r>
        <w:rPr>
          <w:rFonts w:ascii="Times New Roman" w:hAnsi="Times New Roman" w:cs="Times New Roman"/>
          <w:spacing w:val="-2"/>
          <w:sz w:val="24"/>
        </w:rPr>
        <w:t>TAE</w:t>
      </w:r>
      <w:r>
        <w:rPr>
          <w:rFonts w:ascii="Times New Roman" w:hAnsi="Times New Roman" w:cs="Times New Roman"/>
          <w:spacing w:val="-2"/>
          <w:sz w:val="24"/>
        </w:rPr>
        <w:t>或</w:t>
      </w:r>
      <w:r>
        <w:rPr>
          <w:rFonts w:ascii="Times New Roman" w:hAnsi="Times New Roman" w:cs="Times New Roman"/>
          <w:spacing w:val="-2"/>
          <w:sz w:val="24"/>
        </w:rPr>
        <w:t>TBE</w:t>
      </w:r>
      <w:r>
        <w:rPr>
          <w:rFonts w:ascii="Times New Roman" w:hAnsi="Times New Roman" w:cs="Times New Roman"/>
          <w:spacing w:val="-2"/>
          <w:sz w:val="24"/>
        </w:rPr>
        <w:t>），倒入三角锥形瓶中。</w:t>
      </w:r>
    </w:p>
    <w:p w:rsidR="00D459AB" w:rsidRDefault="002472A1">
      <w:pPr>
        <w:widowControl/>
        <w:spacing w:line="460" w:lineRule="exact"/>
        <w:ind w:firstLineChars="200" w:firstLine="474"/>
        <w:rPr>
          <w:rFonts w:ascii="Times New Roman" w:hAnsi="Times New Roman" w:cs="Times New Roman"/>
          <w:b/>
          <w:bCs/>
          <w:spacing w:val="-2"/>
          <w:sz w:val="24"/>
        </w:rPr>
      </w:pPr>
      <w:r>
        <w:rPr>
          <w:rFonts w:ascii="Times New Roman" w:hAnsi="Times New Roman" w:cs="Times New Roman"/>
          <w:b/>
          <w:bCs/>
          <w:spacing w:val="-2"/>
          <w:sz w:val="24"/>
        </w:rPr>
        <w:t>注：制胶缓冲液和电泳缓冲液需一致。</w:t>
      </w:r>
    </w:p>
    <w:p w:rsidR="00D459AB" w:rsidRDefault="002472A1">
      <w:pPr>
        <w:widowControl/>
        <w:spacing w:line="460" w:lineRule="exact"/>
        <w:ind w:firstLineChars="200" w:firstLine="472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准确称量琼脂糖，小心加入上述三角锥形瓶中。在锥形瓶的瓶口盖上牛皮纸，置于微波炉中加热溶解。加热至溶液沸腾后，请戴上防热手套，小心晃动锥形瓶，如此重复数次，直至琼脂糖完全溶解。</w:t>
      </w:r>
    </w:p>
    <w:p w:rsidR="00D459AB" w:rsidRDefault="002472A1">
      <w:pPr>
        <w:widowControl/>
        <w:spacing w:line="460" w:lineRule="exact"/>
        <w:ind w:firstLineChars="200" w:firstLine="474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b/>
          <w:bCs/>
          <w:spacing w:val="-2"/>
          <w:sz w:val="24"/>
        </w:rPr>
        <w:t>注：琼脂糖溶解过程采用多次短暂沸腾的方法</w:t>
      </w:r>
      <w:r>
        <w:rPr>
          <w:rFonts w:ascii="Times New Roman" w:hAnsi="Times New Roman" w:cs="Times New Roman" w:hint="eastAsia"/>
          <w:b/>
          <w:bCs/>
          <w:spacing w:val="-2"/>
          <w:sz w:val="24"/>
        </w:rPr>
        <w:t>，</w:t>
      </w:r>
      <w:r>
        <w:rPr>
          <w:rFonts w:ascii="Times New Roman" w:hAnsi="Times New Roman" w:cs="Times New Roman"/>
          <w:b/>
          <w:bCs/>
          <w:spacing w:val="-2"/>
          <w:sz w:val="24"/>
        </w:rPr>
        <w:t>避免溶液过热暴沸。保证琼脂糖充分完全溶解，以免造成电泳图像模糊不清。</w:t>
      </w:r>
    </w:p>
    <w:p w:rsidR="00D459AB" w:rsidRDefault="002472A1">
      <w:pPr>
        <w:widowControl/>
        <w:spacing w:line="460" w:lineRule="exact"/>
        <w:ind w:firstLineChars="200" w:firstLine="472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在充分溶解的琼脂糖里加入核酸染料。</w:t>
      </w:r>
    </w:p>
    <w:p w:rsidR="00D459AB" w:rsidRDefault="002472A1">
      <w:pPr>
        <w:widowControl/>
        <w:spacing w:line="460" w:lineRule="exact"/>
        <w:ind w:firstLineChars="200" w:firstLine="472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r>
        <w:rPr>
          <w:rFonts w:ascii="Times New Roman" w:hAnsi="Times New Roman" w:cs="Times New Roman"/>
          <w:spacing w:val="-2"/>
          <w:sz w:val="24"/>
        </w:rPr>
        <w:t>将琼脂糖溶液倒入制胶模中，然后在适当位置处插上梳子。凝胶厚度一般在</w:t>
      </w:r>
      <w:r>
        <w:rPr>
          <w:rFonts w:ascii="Times New Roman" w:hAnsi="Times New Roman" w:cs="Times New Roman"/>
          <w:spacing w:val="-2"/>
          <w:sz w:val="24"/>
        </w:rPr>
        <w:t>3</w:t>
      </w:r>
      <w:r>
        <w:rPr>
          <w:rFonts w:ascii="Times New Roman" w:hAnsi="Times New Roman" w:cs="Times New Roman" w:hint="eastAsia"/>
          <w:spacing w:val="-2"/>
          <w:sz w:val="24"/>
        </w:rPr>
        <w:t>-</w:t>
      </w:r>
      <w:r>
        <w:rPr>
          <w:rFonts w:ascii="Times New Roman" w:hAnsi="Times New Roman" w:cs="Times New Roman"/>
          <w:spacing w:val="-2"/>
          <w:sz w:val="24"/>
        </w:rPr>
        <w:t>5mm</w:t>
      </w:r>
      <w:r>
        <w:rPr>
          <w:rFonts w:ascii="Times New Roman" w:hAnsi="Times New Roman" w:cs="Times New Roman"/>
          <w:spacing w:val="-2"/>
          <w:sz w:val="24"/>
        </w:rPr>
        <w:t>之间。</w:t>
      </w:r>
    </w:p>
    <w:p w:rsidR="00D459AB" w:rsidRDefault="002472A1">
      <w:pPr>
        <w:widowControl/>
        <w:spacing w:line="460" w:lineRule="exact"/>
        <w:ind w:firstLineChars="200" w:firstLine="472"/>
        <w:rPr>
          <w:rFonts w:ascii="Times New Roman" w:hAnsi="Times New Roman" w:cs="Times New Roman"/>
          <w:spacing w:val="-5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⑤</w:t>
      </w:r>
      <w:r>
        <w:rPr>
          <w:rFonts w:ascii="Times New Roman" w:hAnsi="Times New Roman" w:cs="Times New Roman"/>
          <w:spacing w:val="-2"/>
          <w:sz w:val="24"/>
        </w:rPr>
        <w:t>室温</w:t>
      </w:r>
      <w:proofErr w:type="gramStart"/>
      <w:r>
        <w:rPr>
          <w:rFonts w:ascii="Times New Roman" w:hAnsi="Times New Roman" w:cs="Times New Roman"/>
          <w:spacing w:val="-2"/>
          <w:sz w:val="24"/>
        </w:rPr>
        <w:t>下待胶</w:t>
      </w:r>
      <w:proofErr w:type="gramEnd"/>
      <w:r>
        <w:rPr>
          <w:rFonts w:ascii="Times New Roman" w:hAnsi="Times New Roman" w:cs="Times New Roman"/>
          <w:spacing w:val="-2"/>
          <w:sz w:val="24"/>
        </w:rPr>
        <w:t>凝固（大约</w:t>
      </w:r>
      <w:r>
        <w:rPr>
          <w:rFonts w:ascii="Times New Roman" w:hAnsi="Times New Roman" w:cs="Times New Roman"/>
          <w:spacing w:val="-2"/>
          <w:sz w:val="24"/>
        </w:rPr>
        <w:t>30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 w:hint="eastAsia"/>
          <w:spacing w:val="-2"/>
          <w:sz w:val="24"/>
        </w:rPr>
        <w:t>-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小时），置于电泳槽中进行电泳。</w:t>
      </w:r>
    </w:p>
    <w:p w:rsidR="00D459AB" w:rsidRDefault="002472A1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459AB" w:rsidRDefault="002472A1">
      <w:pPr>
        <w:widowControl/>
        <w:numPr>
          <w:ilvl w:val="0"/>
          <w:numId w:val="2"/>
        </w:numPr>
        <w:spacing w:line="460" w:lineRule="exact"/>
        <w:ind w:firstLineChars="200" w:firstLine="464"/>
        <w:rPr>
          <w:rFonts w:ascii="Times New Roman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溶</w:t>
      </w:r>
      <w:r>
        <w:rPr>
          <w:rFonts w:ascii="Times New Roman" w:hAnsi="Times New Roman" w:cs="Times New Roman"/>
          <w:spacing w:val="-4"/>
          <w:sz w:val="24"/>
        </w:rPr>
        <w:t>胶可能会引起暴沸，</w:t>
      </w:r>
      <w:r>
        <w:rPr>
          <w:rFonts w:ascii="Times New Roman" w:hAnsi="Times New Roman" w:cs="Times New Roman"/>
          <w:b/>
          <w:bCs/>
          <w:spacing w:val="-4"/>
          <w:sz w:val="24"/>
        </w:rPr>
        <w:t>需注意防止烫伤</w:t>
      </w:r>
      <w:r>
        <w:rPr>
          <w:rFonts w:ascii="Times New Roman" w:hAnsi="Times New Roman" w:cs="Times New Roman"/>
          <w:spacing w:val="-4"/>
          <w:sz w:val="24"/>
        </w:rPr>
        <w:t>。</w:t>
      </w:r>
    </w:p>
    <w:p w:rsidR="00D459AB" w:rsidRDefault="002472A1">
      <w:pPr>
        <w:widowControl/>
        <w:numPr>
          <w:ilvl w:val="0"/>
          <w:numId w:val="2"/>
        </w:numPr>
        <w:spacing w:line="46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DA003-01</w:t>
      </w:r>
      <w:r>
        <w:rPr>
          <w:rFonts w:ascii="Times New Roman" w:hAnsi="Times New Roman" w:cs="Times New Roman" w:hint="eastAsia"/>
          <w:sz w:val="24"/>
        </w:rPr>
        <w:t>为自有国产品牌，</w:t>
      </w:r>
      <w:r>
        <w:rPr>
          <w:rFonts w:ascii="Times New Roman" w:hAnsi="Times New Roman" w:cs="Times New Roman"/>
          <w:sz w:val="24"/>
        </w:rPr>
        <w:t>DA003-0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为进口试剂。</w:t>
      </w:r>
    </w:p>
    <w:p w:rsidR="00D459AB" w:rsidRDefault="002472A1">
      <w:pPr>
        <w:widowControl/>
        <w:numPr>
          <w:ilvl w:val="0"/>
          <w:numId w:val="2"/>
        </w:numPr>
        <w:spacing w:line="460" w:lineRule="exact"/>
        <w:ind w:firstLineChars="200" w:firstLine="466"/>
        <w:rPr>
          <w:rFonts w:ascii="Times New Roman" w:eastAsia="宋体" w:hAnsi="Times New Roman" w:cs="Times New Roman"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请佩戴手套</w:t>
      </w:r>
      <w:r>
        <w:rPr>
          <w:rFonts w:ascii="Times New Roman" w:hAnsi="Times New Roman" w:cs="Times New Roman"/>
          <w:spacing w:val="-4"/>
          <w:sz w:val="24"/>
        </w:rPr>
        <w:t>，</w:t>
      </w:r>
      <w:r>
        <w:rPr>
          <w:rFonts w:ascii="Times New Roman" w:hAnsi="Times New Roman" w:cs="Times New Roman"/>
          <w:spacing w:val="-4"/>
          <w:sz w:val="24"/>
        </w:rPr>
        <w:t>尤其是</w:t>
      </w:r>
      <w:r>
        <w:rPr>
          <w:rFonts w:ascii="Times New Roman" w:hAnsi="Times New Roman" w:cs="Times New Roman"/>
          <w:spacing w:val="-4"/>
          <w:sz w:val="24"/>
        </w:rPr>
        <w:t>使用具有致癌性的荧光染料</w:t>
      </w:r>
      <w:r>
        <w:rPr>
          <w:rFonts w:ascii="Times New Roman" w:hAnsi="Times New Roman" w:cs="Times New Roman"/>
          <w:spacing w:val="-4"/>
          <w:sz w:val="24"/>
        </w:rPr>
        <w:t>（</w:t>
      </w:r>
      <w:r>
        <w:rPr>
          <w:rFonts w:ascii="Times New Roman" w:hAnsi="Times New Roman" w:cs="Times New Roman"/>
          <w:spacing w:val="-4"/>
          <w:sz w:val="24"/>
        </w:rPr>
        <w:t>如</w:t>
      </w:r>
      <w:r>
        <w:rPr>
          <w:rFonts w:ascii="Times New Roman" w:hAnsi="Times New Roman" w:cs="Times New Roman" w:hint="eastAsia"/>
          <w:spacing w:val="-4"/>
          <w:sz w:val="24"/>
        </w:rPr>
        <w:t>溴化乙锭</w:t>
      </w:r>
      <w:r>
        <w:rPr>
          <w:rFonts w:ascii="Times New Roman" w:hAnsi="Times New Roman" w:cs="Times New Roman"/>
          <w:spacing w:val="-4"/>
          <w:sz w:val="24"/>
        </w:rPr>
        <w:t>等</w:t>
      </w:r>
      <w:r>
        <w:rPr>
          <w:rFonts w:ascii="Times New Roman" w:hAnsi="Times New Roman" w:cs="Times New Roman"/>
          <w:spacing w:val="-4"/>
          <w:sz w:val="24"/>
        </w:rPr>
        <w:t>）</w:t>
      </w:r>
      <w:r>
        <w:rPr>
          <w:rFonts w:ascii="Times New Roman" w:hAnsi="Times New Roman" w:cs="Times New Roman"/>
          <w:spacing w:val="-4"/>
          <w:sz w:val="24"/>
        </w:rPr>
        <w:t>进行凝胶核酸染色</w:t>
      </w:r>
      <w:r>
        <w:rPr>
          <w:rFonts w:ascii="Times New Roman" w:hAnsi="Times New Roman" w:cs="Times New Roman"/>
          <w:spacing w:val="-4"/>
          <w:sz w:val="24"/>
        </w:rPr>
        <w:t>。</w:t>
      </w:r>
    </w:p>
    <w:p w:rsidR="00D459AB" w:rsidRDefault="002472A1">
      <w:pPr>
        <w:widowControl/>
        <w:numPr>
          <w:ilvl w:val="0"/>
          <w:numId w:val="2"/>
        </w:numPr>
        <w:spacing w:line="460" w:lineRule="exact"/>
        <w:ind w:firstLineChars="200" w:firstLine="4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4"/>
          <w:sz w:val="24"/>
        </w:rPr>
        <w:t>配置好的凝胶如</w:t>
      </w:r>
      <w:proofErr w:type="gramStart"/>
      <w:r>
        <w:rPr>
          <w:rFonts w:ascii="Times New Roman" w:hAnsi="Times New Roman" w:cs="Times New Roman"/>
          <w:spacing w:val="-4"/>
          <w:sz w:val="24"/>
        </w:rPr>
        <w:t>不</w:t>
      </w:r>
      <w:proofErr w:type="gramEnd"/>
      <w:r>
        <w:rPr>
          <w:rFonts w:ascii="Times New Roman" w:hAnsi="Times New Roman" w:cs="Times New Roman"/>
          <w:spacing w:val="-4"/>
          <w:sz w:val="24"/>
        </w:rPr>
        <w:t>立即使用，请将凝胶泡于电泳缓冲液（</w:t>
      </w:r>
      <w:r>
        <w:rPr>
          <w:rFonts w:ascii="Times New Roman" w:hAnsi="Times New Roman" w:cs="Times New Roman"/>
          <w:spacing w:val="-4"/>
          <w:sz w:val="24"/>
        </w:rPr>
        <w:t>TAE</w:t>
      </w:r>
      <w:r>
        <w:rPr>
          <w:rFonts w:ascii="Times New Roman" w:hAnsi="Times New Roman" w:cs="Times New Roman"/>
          <w:spacing w:val="-4"/>
          <w:sz w:val="24"/>
        </w:rPr>
        <w:t>或者</w:t>
      </w:r>
      <w:r>
        <w:rPr>
          <w:rFonts w:ascii="Times New Roman" w:hAnsi="Times New Roman" w:cs="Times New Roman"/>
          <w:spacing w:val="-4"/>
          <w:sz w:val="24"/>
        </w:rPr>
        <w:t>TBE</w:t>
      </w:r>
      <w:r>
        <w:rPr>
          <w:rFonts w:ascii="Times New Roman" w:hAnsi="Times New Roman" w:cs="Times New Roman"/>
          <w:spacing w:val="-4"/>
          <w:sz w:val="24"/>
        </w:rPr>
        <w:t>中）备用，</w:t>
      </w:r>
      <w:r>
        <w:rPr>
          <w:rFonts w:ascii="Times New Roman" w:hAnsi="Times New Roman" w:cs="Times New Roman"/>
          <w:b/>
          <w:bCs/>
          <w:spacing w:val="-4"/>
          <w:sz w:val="24"/>
        </w:rPr>
        <w:t>避免凝胶干胶</w:t>
      </w:r>
      <w:r>
        <w:rPr>
          <w:rFonts w:ascii="Times New Roman" w:hAnsi="Times New Roman" w:cs="Times New Roman"/>
          <w:spacing w:val="-4"/>
          <w:sz w:val="24"/>
        </w:rPr>
        <w:t>。</w:t>
      </w:r>
    </w:p>
    <w:sectPr w:rsidR="00D45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A1" w:rsidRDefault="002472A1">
      <w:r>
        <w:separator/>
      </w:r>
    </w:p>
  </w:endnote>
  <w:endnote w:type="continuationSeparator" w:id="0">
    <w:p w:rsidR="002472A1" w:rsidRDefault="0024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43" w:rsidRDefault="00472A4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AB" w:rsidRDefault="00D459AB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43" w:rsidRDefault="00472A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A1" w:rsidRDefault="002472A1">
      <w:r>
        <w:separator/>
      </w:r>
    </w:p>
  </w:footnote>
  <w:footnote w:type="continuationSeparator" w:id="0">
    <w:p w:rsidR="002472A1" w:rsidRDefault="0024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43" w:rsidRDefault="00472A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9AB" w:rsidRDefault="002472A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1" name="图片 1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A43" w:rsidRDefault="00472A4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401FB"/>
    <w:multiLevelType w:val="singleLevel"/>
    <w:tmpl w:val="F07401FB"/>
    <w:lvl w:ilvl="0">
      <w:start w:val="1"/>
      <w:numFmt w:val="decimal"/>
      <w:suff w:val="space"/>
      <w:lvlText w:val="%1."/>
      <w:lvlJc w:val="left"/>
    </w:lvl>
  </w:abstractNum>
  <w:abstractNum w:abstractNumId="1">
    <w:nsid w:val="445FF215"/>
    <w:multiLevelType w:val="singleLevel"/>
    <w:tmpl w:val="445FF21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459AB"/>
    <w:rsid w:val="000A71EE"/>
    <w:rsid w:val="002472A1"/>
    <w:rsid w:val="00472A43"/>
    <w:rsid w:val="00D459A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798776A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291F47"/>
    <w:rsid w:val="3AE15F1B"/>
    <w:rsid w:val="3AEE7586"/>
    <w:rsid w:val="3B5B0F3E"/>
    <w:rsid w:val="3BF7185A"/>
    <w:rsid w:val="3D3F5603"/>
    <w:rsid w:val="3F435BC1"/>
    <w:rsid w:val="3F76116E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67A10"/>
    <w:rsid w:val="4FA77519"/>
    <w:rsid w:val="519D1BB8"/>
    <w:rsid w:val="51DD405E"/>
    <w:rsid w:val="52EF04DD"/>
    <w:rsid w:val="53277CA7"/>
    <w:rsid w:val="542B4307"/>
    <w:rsid w:val="54710F99"/>
    <w:rsid w:val="54B94DA4"/>
    <w:rsid w:val="5552572D"/>
    <w:rsid w:val="55F84612"/>
    <w:rsid w:val="57034A09"/>
    <w:rsid w:val="582558AD"/>
    <w:rsid w:val="588C13DB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71502C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DEB485D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D254094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839577F59D4F4B9E9BF12BCE08591C4D</vt:lpwstr>
  </property>
</Properties>
</file>