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F2F69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F2F69" w:rsidRDefault="005F143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4F2F69" w:rsidRDefault="005F143A" w:rsidP="003F5910">
      <w:pPr>
        <w:spacing w:beforeLines="50" w:before="156" w:afterLines="50" w:after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2×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Taq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PCR Master Mix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>without dye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）</w:t>
      </w:r>
    </w:p>
    <w:p w:rsidR="004F2F69" w:rsidRDefault="005F143A" w:rsidP="003F591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E003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1mL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F2F69" w:rsidRDefault="005F143A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</w:rPr>
        <w:t>Taq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PCR Master Mix</w:t>
      </w:r>
      <w:r>
        <w:rPr>
          <w:rFonts w:ascii="Times New Roman" w:eastAsia="宋体" w:hAnsi="Times New Roman" w:cs="Times New Roman"/>
          <w:sz w:val="24"/>
        </w:rPr>
        <w:t>是</w:t>
      </w:r>
      <w:r>
        <w:rPr>
          <w:rFonts w:ascii="Times New Roman" w:eastAsia="宋体" w:hAnsi="Times New Roman" w:cs="Times New Roman"/>
          <w:sz w:val="24"/>
        </w:rPr>
        <w:t>DNA Polymerase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PCR Buffer</w:t>
      </w:r>
      <w:r>
        <w:rPr>
          <w:rFonts w:ascii="Times New Roman" w:eastAsia="宋体" w:hAnsi="Times New Roman" w:cs="Times New Roman"/>
          <w:sz w:val="24"/>
        </w:rPr>
        <w:t>及</w:t>
      </w:r>
      <w:r>
        <w:rPr>
          <w:rFonts w:ascii="Times New Roman" w:eastAsia="宋体" w:hAnsi="Times New Roman" w:cs="Times New Roman"/>
          <w:sz w:val="24"/>
        </w:rPr>
        <w:t xml:space="preserve">dNTP </w:t>
      </w:r>
      <w:r>
        <w:rPr>
          <w:rFonts w:ascii="Times New Roman" w:eastAsia="宋体" w:hAnsi="Times New Roman" w:cs="Times New Roman"/>
          <w:sz w:val="24"/>
        </w:rPr>
        <w:t>Mix</w:t>
      </w:r>
      <w:r>
        <w:rPr>
          <w:rFonts w:ascii="Times New Roman" w:eastAsia="宋体" w:hAnsi="Times New Roman" w:cs="Times New Roman"/>
          <w:sz w:val="24"/>
        </w:rPr>
        <w:t>等的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倍浓度的预混溶液。使用本产品时，只需向预混溶液中加入模板和引物，以</w:t>
      </w:r>
      <w:r>
        <w:rPr>
          <w:rFonts w:ascii="Times New Roman" w:eastAsia="宋体" w:hAnsi="Times New Roman" w:cs="Times New Roman"/>
          <w:sz w:val="24"/>
        </w:rPr>
        <w:t>ddH</w:t>
      </w:r>
      <w:r>
        <w:rPr>
          <w:rFonts w:ascii="Times New Roman" w:eastAsia="宋体" w:hAnsi="Times New Roman" w:cs="Times New Roman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</w:rPr>
        <w:t>O</w:t>
      </w:r>
      <w:r>
        <w:rPr>
          <w:rFonts w:ascii="Times New Roman" w:eastAsia="宋体" w:hAnsi="Times New Roman" w:cs="Times New Roman"/>
          <w:sz w:val="24"/>
        </w:rPr>
        <w:t>补足体积便可进行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反应，简化了操作步骤，降低了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操作过程中的污染风险。本产品灵敏度高，特异性强，线性范围广，对目的基因定量更准确。使用本产品扩增得到的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</w:t>
      </w:r>
      <w:r>
        <w:rPr>
          <w:rFonts w:ascii="Times New Roman" w:eastAsia="宋体" w:hAnsi="Times New Roman" w:cs="Times New Roman"/>
          <w:sz w:val="24"/>
        </w:rPr>
        <w:t>3</w:t>
      </w:r>
      <w:proofErr w:type="gramStart"/>
      <w:r>
        <w:rPr>
          <w:rFonts w:ascii="Times New Roman" w:eastAsia="宋体" w:hAnsi="Times New Roman" w:cs="Times New Roman"/>
          <w:sz w:val="24"/>
        </w:rPr>
        <w:t>’</w:t>
      </w:r>
      <w:r>
        <w:rPr>
          <w:rFonts w:ascii="Times New Roman" w:eastAsia="宋体" w:hAnsi="Times New Roman" w:cs="Times New Roman"/>
          <w:sz w:val="24"/>
        </w:rPr>
        <w:t>端带</w:t>
      </w:r>
      <w:proofErr w:type="gramEnd"/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碱基，可克隆至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载体。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7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4F2F69">
        <w:trPr>
          <w:trHeight w:hRule="exact" w:val="441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E003</w:t>
            </w:r>
          </w:p>
        </w:tc>
      </w:tr>
      <w:tr w:rsidR="004F2F69">
        <w:trPr>
          <w:trHeight w:hRule="exact" w:val="474"/>
        </w:trPr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PCR Master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without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500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</w:tr>
    </w:tbl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F2F69" w:rsidRDefault="005F143A">
      <w:pPr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F69" w:rsidRDefault="005F143A">
      <w:pPr>
        <w:widowControl/>
        <w:spacing w:line="46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本产品经质量检测，不含脱氧核糖核酸内切酶活性、脱氧核糖核酸外切酶活性和核糖核酸酶污染。宿主基因组残留低于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拷贝。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4F2F69" w:rsidRDefault="005F143A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法扩增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序列测定。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</w:p>
    <w:p w:rsidR="004F2F69" w:rsidRDefault="005F143A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将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反应所需的各种溶液室温</w:t>
      </w:r>
      <w:proofErr w:type="gramStart"/>
      <w:r>
        <w:rPr>
          <w:rFonts w:ascii="Times New Roman" w:eastAsia="宋体" w:hAnsi="Times New Roman" w:cs="Times New Roman"/>
          <w:sz w:val="24"/>
        </w:rPr>
        <w:t>平衡至</w:t>
      </w:r>
      <w:proofErr w:type="gramEnd"/>
      <w:r>
        <w:rPr>
          <w:rFonts w:ascii="Times New Roman" w:eastAsia="宋体" w:hAnsi="Times New Roman" w:cs="Times New Roman"/>
          <w:sz w:val="24"/>
        </w:rPr>
        <w:t>完全溶解，充分混匀后于冰上进行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反应体系的配置。</w:t>
      </w:r>
    </w:p>
    <w:p w:rsidR="004F2F69" w:rsidRDefault="005F143A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</w:t>
      </w:r>
      <w:proofErr w:type="gramStart"/>
      <w:r>
        <w:rPr>
          <w:rFonts w:ascii="Times New Roman" w:eastAsia="宋体" w:hAnsi="Times New Roman" w:cs="Times New Roman"/>
          <w:sz w:val="24"/>
        </w:rPr>
        <w:t>在冰浴或</w:t>
      </w:r>
      <w:proofErr w:type="gramEnd"/>
      <w:r>
        <w:rPr>
          <w:rFonts w:ascii="Times New Roman" w:eastAsia="宋体" w:hAnsi="Times New Roman" w:cs="Times New Roman"/>
          <w:sz w:val="24"/>
        </w:rPr>
        <w:t>冰盒上进行，可参考推荐反应体系进行设置。</w:t>
      </w:r>
    </w:p>
    <w:p w:rsidR="004F2F69" w:rsidRDefault="005F143A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配置好的反应体系</w:t>
      </w:r>
      <w:proofErr w:type="gramStart"/>
      <w:r>
        <w:rPr>
          <w:rFonts w:ascii="Times New Roman" w:eastAsia="宋体" w:hAnsi="Times New Roman" w:cs="Times New Roman"/>
          <w:sz w:val="24"/>
        </w:rPr>
        <w:t>用移液器充分吹</w:t>
      </w:r>
      <w:proofErr w:type="gramEnd"/>
      <w:r>
        <w:rPr>
          <w:rFonts w:ascii="Times New Roman" w:eastAsia="宋体" w:hAnsi="Times New Roman" w:cs="Times New Roman"/>
          <w:sz w:val="24"/>
        </w:rPr>
        <w:t>吸混匀，盖好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管盖，做好标记，室温离心数秒。</w:t>
      </w:r>
    </w:p>
    <w:p w:rsidR="004F2F69" w:rsidRDefault="005F143A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将准备好的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管放入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仪进行上机，设置反应条件，开始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反应。</w:t>
      </w:r>
    </w:p>
    <w:p w:rsidR="004F2F69" w:rsidRDefault="004F2F69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4F2F69" w:rsidRDefault="004F2F69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4F2F69" w:rsidRDefault="004F2F6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4F2F69" w:rsidRDefault="005F143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推荐反应</w:t>
      </w:r>
      <w:r>
        <w:rPr>
          <w:rFonts w:ascii="Times New Roman" w:eastAsia="宋体" w:hAnsi="Times New Roman" w:cs="Times New Roman"/>
          <w:sz w:val="24"/>
        </w:rPr>
        <w:t>体系：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3971"/>
        <w:gridCol w:w="2993"/>
        <w:gridCol w:w="2996"/>
      </w:tblGrid>
      <w:tr w:rsidR="004F2F69">
        <w:tc>
          <w:tcPr>
            <w:tcW w:w="1993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502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25µL</w:t>
            </w:r>
            <w:r>
              <w:rPr>
                <w:rFonts w:ascii="Times New Roman" w:eastAsia="宋体" w:hAnsi="Times New Roman" w:cs="Times New Roman"/>
                <w:sz w:val="24"/>
              </w:rPr>
              <w:t>体系用量</w:t>
            </w:r>
          </w:p>
        </w:tc>
        <w:tc>
          <w:tcPr>
            <w:tcW w:w="1503" w:type="pct"/>
            <w:tcBorders>
              <w:left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4F2F69">
        <w:tc>
          <w:tcPr>
            <w:tcW w:w="1993" w:type="pct"/>
            <w:tcBorders>
              <w:left w:val="nil"/>
              <w:bottom w:val="nil"/>
              <w:right w:val="nil"/>
            </w:tcBorders>
          </w:tcPr>
          <w:p w:rsidR="004F2F69" w:rsidRDefault="005F143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PCR Master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without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502" w:type="pct"/>
            <w:tcBorders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12.5μL</w:t>
            </w:r>
          </w:p>
        </w:tc>
        <w:tc>
          <w:tcPr>
            <w:tcW w:w="1503" w:type="pct"/>
            <w:tcBorders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4F2F69">
        <w:trPr>
          <w:trHeight w:val="457"/>
        </w:trPr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4F2F69" w:rsidRDefault="005F143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4F2F69"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4F2F69" w:rsidRDefault="005F143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4F2F69"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</w:tcPr>
          <w:p w:rsidR="004F2F69" w:rsidRDefault="005F143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1μL as required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4F2F69">
        <w:tc>
          <w:tcPr>
            <w:tcW w:w="1993" w:type="pct"/>
            <w:tcBorders>
              <w:top w:val="nil"/>
              <w:left w:val="nil"/>
              <w:right w:val="nil"/>
            </w:tcBorders>
          </w:tcPr>
          <w:p w:rsidR="004F2F69" w:rsidRDefault="005F143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502" w:type="pct"/>
            <w:tcBorders>
              <w:top w:val="nil"/>
              <w:left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Up to 25μL</w:t>
            </w:r>
          </w:p>
        </w:tc>
        <w:tc>
          <w:tcPr>
            <w:tcW w:w="1503" w:type="pct"/>
            <w:tcBorders>
              <w:top w:val="nil"/>
              <w:left w:val="nil"/>
              <w:right w:val="nil"/>
            </w:tcBorders>
            <w:vAlign w:val="center"/>
          </w:tcPr>
          <w:p w:rsidR="004F2F69" w:rsidRDefault="005F14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p w:rsidR="004F2F69" w:rsidRDefault="005F143A">
      <w:pPr>
        <w:spacing w:line="42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通常情况下，可以采用两步法进行反应；如果两步法扩增不理想，可以采用三步法设置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反应程序。鉴于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模板中目标基因丰度的不确定性，建议初次扩增时使用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35-38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个循环，根据扩增结果再调整扩增循环数。</w:t>
      </w:r>
    </w:p>
    <w:tbl>
      <w:tblPr>
        <w:tblStyle w:val="a6"/>
        <w:tblW w:w="4996" w:type="pct"/>
        <w:tblLook w:val="04A0" w:firstRow="1" w:lastRow="0" w:firstColumn="1" w:lastColumn="0" w:noHBand="0" w:noVBand="1"/>
      </w:tblPr>
      <w:tblGrid>
        <w:gridCol w:w="3059"/>
        <w:gridCol w:w="2927"/>
        <w:gridCol w:w="3968"/>
      </w:tblGrid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时间设置</w:t>
            </w:r>
          </w:p>
        </w:tc>
        <w:tc>
          <w:tcPr>
            <w:tcW w:w="1992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2-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5min</w:t>
            </w:r>
          </w:p>
        </w:tc>
        <w:tc>
          <w:tcPr>
            <w:tcW w:w="1992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10sec</w:t>
            </w:r>
          </w:p>
        </w:tc>
        <w:tc>
          <w:tcPr>
            <w:tcW w:w="1992" w:type="pct"/>
            <w:vMerge w:val="restar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28-40Cycles</w:t>
            </w:r>
          </w:p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（质粒或基因组模板：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28-35cycles</w:t>
            </w:r>
            <w:r>
              <w:rPr>
                <w:rFonts w:ascii="Times New Roman" w:hAnsi="Times New Roman" w:cs="Times New Roman"/>
                <w:bCs/>
                <w:sz w:val="24"/>
              </w:rPr>
              <w:t>；</w:t>
            </w:r>
          </w:p>
          <w:p w:rsidR="004F2F69" w:rsidRDefault="005F143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cDNA</w:t>
            </w:r>
            <w:r>
              <w:rPr>
                <w:rFonts w:ascii="Times New Roman" w:hAnsi="Times New Roman" w:cs="Times New Roman"/>
                <w:bCs/>
                <w:sz w:val="24"/>
              </w:rPr>
              <w:t>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30-40cycles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55℃-60℃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sec</w:t>
            </w:r>
          </w:p>
        </w:tc>
        <w:tc>
          <w:tcPr>
            <w:tcW w:w="1992" w:type="pct"/>
            <w:vMerge/>
            <w:vAlign w:val="center"/>
          </w:tcPr>
          <w:p w:rsidR="004F2F69" w:rsidRDefault="004F2F6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1min / 1-3kb</w:t>
            </w:r>
          </w:p>
        </w:tc>
        <w:tc>
          <w:tcPr>
            <w:tcW w:w="1992" w:type="pct"/>
            <w:vMerge/>
            <w:vAlign w:val="center"/>
          </w:tcPr>
          <w:p w:rsidR="004F2F69" w:rsidRDefault="004F2F6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（最终延伸）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5-10min</w:t>
            </w:r>
          </w:p>
        </w:tc>
        <w:tc>
          <w:tcPr>
            <w:tcW w:w="1992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</w:p>
        </w:tc>
      </w:tr>
      <w:tr w:rsidR="004F2F69">
        <w:tc>
          <w:tcPr>
            <w:tcW w:w="1536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4℃/</w:t>
            </w: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℃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（保温）</w:t>
            </w:r>
          </w:p>
        </w:tc>
        <w:tc>
          <w:tcPr>
            <w:tcW w:w="1470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∞</w:t>
            </w:r>
          </w:p>
        </w:tc>
        <w:tc>
          <w:tcPr>
            <w:tcW w:w="1992" w:type="pct"/>
            <w:vAlign w:val="center"/>
          </w:tcPr>
          <w:p w:rsidR="004F2F69" w:rsidRDefault="005F143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4F2F69" w:rsidRDefault="005F143A">
      <w:pPr>
        <w:spacing w:line="460" w:lineRule="exact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4F2F69" w:rsidRDefault="005F14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4F2F69" w:rsidRDefault="005F143A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延伸时间可根据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产物的长度、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含量等实际情况进行调整，每</w:t>
      </w:r>
      <w:r>
        <w:rPr>
          <w:rFonts w:ascii="Times New Roman" w:eastAsia="宋体" w:hAnsi="Times New Roman" w:cs="Times New Roman"/>
          <w:sz w:val="24"/>
        </w:rPr>
        <w:t>kb</w:t>
      </w:r>
      <w:r>
        <w:rPr>
          <w:rFonts w:ascii="Times New Roman" w:eastAsia="宋体" w:hAnsi="Times New Roman" w:cs="Times New Roman"/>
          <w:sz w:val="24"/>
        </w:rPr>
        <w:t>产物的延伸时间与模板复杂程度密切相关，简单模板为</w:t>
      </w:r>
      <w:r>
        <w:rPr>
          <w:rFonts w:ascii="Times New Roman" w:eastAsia="宋体" w:hAnsi="Times New Roman" w:cs="Times New Roman"/>
          <w:sz w:val="24"/>
        </w:rPr>
        <w:t>20s</w:t>
      </w:r>
      <w:r>
        <w:rPr>
          <w:rFonts w:ascii="Times New Roman" w:eastAsia="宋体" w:hAnsi="Times New Roman" w:cs="Times New Roman"/>
          <w:sz w:val="24"/>
        </w:rPr>
        <w:t>，一般模板为</w:t>
      </w:r>
      <w:r>
        <w:rPr>
          <w:rFonts w:ascii="Times New Roman" w:eastAsia="宋体" w:hAnsi="Times New Roman" w:cs="Times New Roman"/>
          <w:sz w:val="24"/>
        </w:rPr>
        <w:t>30s</w:t>
      </w:r>
      <w:r>
        <w:rPr>
          <w:rFonts w:ascii="Times New Roman" w:eastAsia="宋体" w:hAnsi="Times New Roman" w:cs="Times New Roman"/>
          <w:sz w:val="24"/>
        </w:rPr>
        <w:t>，复杂模板为</w:t>
      </w:r>
      <w:r>
        <w:rPr>
          <w:rFonts w:ascii="Times New Roman" w:eastAsia="宋体" w:hAnsi="Times New Roman" w:cs="Times New Roman"/>
          <w:sz w:val="24"/>
        </w:rPr>
        <w:t>1min</w:t>
      </w:r>
      <w:r>
        <w:rPr>
          <w:rFonts w:ascii="Times New Roman" w:eastAsia="宋体" w:hAnsi="Times New Roman" w:cs="Times New Roman"/>
          <w:sz w:val="24"/>
        </w:rPr>
        <w:t>。</w:t>
      </w:r>
    </w:p>
    <w:p w:rsidR="004F2F69" w:rsidRDefault="005F143A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反应的设置需根据模板、引物、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产物的长度和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含量等条件的不同设定不同的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反应条件，通常使用的引物终浓度可在</w:t>
      </w:r>
      <w:r>
        <w:rPr>
          <w:rFonts w:ascii="Times New Roman" w:eastAsia="宋体" w:hAnsi="Times New Roman" w:cs="Times New Roman"/>
          <w:sz w:val="24"/>
        </w:rPr>
        <w:t>0.2-1.0μM</w:t>
      </w:r>
      <w:r>
        <w:rPr>
          <w:rFonts w:ascii="Times New Roman" w:eastAsia="宋体" w:hAnsi="Times New Roman" w:cs="Times New Roman"/>
          <w:sz w:val="24"/>
        </w:rPr>
        <w:t>范围内调整，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模板可根据浓度进行调整，模板复杂或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含量建议延长预变性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变性或延伸时间，提高变性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退火温度等。</w:t>
      </w:r>
    </w:p>
    <w:p w:rsidR="004F2F69" w:rsidRDefault="005F143A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sz w:val="24"/>
        </w:rPr>
        <w:t>移液</w:t>
      </w:r>
      <w:proofErr w:type="gramEnd"/>
      <w:r>
        <w:rPr>
          <w:rFonts w:ascii="Times New Roman" w:eastAsia="宋体" w:hAnsi="Times New Roman" w:cs="Times New Roman"/>
          <w:sz w:val="24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产物可能对实验环境产生污染的风险。</w:t>
      </w:r>
    </w:p>
    <w:p w:rsidR="004F2F69" w:rsidRDefault="005F143A">
      <w:pPr>
        <w:numPr>
          <w:ilvl w:val="0"/>
          <w:numId w:val="2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由于本产品不含染料，反应完成后需加</w:t>
      </w:r>
      <w:r>
        <w:rPr>
          <w:rFonts w:ascii="Times New Roman" w:eastAsia="宋体" w:hAnsi="Times New Roman" w:cs="Times New Roman"/>
          <w:sz w:val="24"/>
        </w:rPr>
        <w:t>DNA</w:t>
      </w:r>
      <w:proofErr w:type="gramStart"/>
      <w:r>
        <w:rPr>
          <w:rFonts w:ascii="Times New Roman" w:eastAsia="宋体" w:hAnsi="Times New Roman" w:cs="Times New Roman"/>
          <w:sz w:val="24"/>
        </w:rPr>
        <w:t>上样缓冲</w:t>
      </w:r>
      <w:proofErr w:type="gramEnd"/>
      <w:r>
        <w:rPr>
          <w:rFonts w:ascii="Times New Roman" w:eastAsia="宋体" w:hAnsi="Times New Roman" w:cs="Times New Roman"/>
          <w:sz w:val="24"/>
        </w:rPr>
        <w:t>液再进行电</w:t>
      </w:r>
      <w:r>
        <w:rPr>
          <w:rFonts w:ascii="Times New Roman" w:eastAsia="宋体" w:hAnsi="Times New Roman" w:cs="Times New Roman"/>
          <w:sz w:val="24"/>
        </w:rPr>
        <w:t>泳。</w:t>
      </w:r>
    </w:p>
    <w:sectPr w:rsidR="004F2F69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3A" w:rsidRDefault="005F143A">
      <w:r>
        <w:separator/>
      </w:r>
    </w:p>
  </w:endnote>
  <w:endnote w:type="continuationSeparator" w:id="0">
    <w:p w:rsidR="005F143A" w:rsidRDefault="005F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3A" w:rsidRDefault="005F143A">
      <w:r>
        <w:separator/>
      </w:r>
    </w:p>
  </w:footnote>
  <w:footnote w:type="continuationSeparator" w:id="0">
    <w:p w:rsidR="005F143A" w:rsidRDefault="005F1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69" w:rsidRDefault="005F143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A2A6"/>
    <w:multiLevelType w:val="singleLevel"/>
    <w:tmpl w:val="05CCA2A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F2F69"/>
    <w:rsid w:val="000A71EE"/>
    <w:rsid w:val="003F5910"/>
    <w:rsid w:val="004F2F69"/>
    <w:rsid w:val="005F143A"/>
    <w:rsid w:val="012074A4"/>
    <w:rsid w:val="01730D53"/>
    <w:rsid w:val="0239547A"/>
    <w:rsid w:val="026C4FD1"/>
    <w:rsid w:val="03372B16"/>
    <w:rsid w:val="04674A3A"/>
    <w:rsid w:val="05410FC1"/>
    <w:rsid w:val="071B4C37"/>
    <w:rsid w:val="07612880"/>
    <w:rsid w:val="09167A44"/>
    <w:rsid w:val="091B4E56"/>
    <w:rsid w:val="09774987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433C58"/>
    <w:rsid w:val="0F8A7463"/>
    <w:rsid w:val="105B0C8D"/>
    <w:rsid w:val="10AF663F"/>
    <w:rsid w:val="10E72496"/>
    <w:rsid w:val="125123E7"/>
    <w:rsid w:val="13884819"/>
    <w:rsid w:val="138B2994"/>
    <w:rsid w:val="146604B6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A3B1F5A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7C2BEE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0A4535A"/>
    <w:rsid w:val="438F528D"/>
    <w:rsid w:val="448B4882"/>
    <w:rsid w:val="466D2C7C"/>
    <w:rsid w:val="48052B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4E26F5"/>
    <w:rsid w:val="604663A9"/>
    <w:rsid w:val="61071063"/>
    <w:rsid w:val="61B943D3"/>
    <w:rsid w:val="635973E4"/>
    <w:rsid w:val="65605ABA"/>
    <w:rsid w:val="65D95929"/>
    <w:rsid w:val="66AE3D8B"/>
    <w:rsid w:val="674B0B69"/>
    <w:rsid w:val="67E8720F"/>
    <w:rsid w:val="68283A50"/>
    <w:rsid w:val="68EE777B"/>
    <w:rsid w:val="6918002D"/>
    <w:rsid w:val="6CA4078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D8A58664425E426F84EFFEFB8D1D4186</vt:lpwstr>
  </property>
</Properties>
</file>