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E4F5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E4F52" w:rsidRDefault="00392333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3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0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1</w:t>
            </w:r>
          </w:p>
        </w:tc>
      </w:tr>
    </w:tbl>
    <w:p w:rsidR="00CE4F52" w:rsidRDefault="00392333" w:rsidP="00A418FD">
      <w:pPr>
        <w:spacing w:beforeLines="50" w:before="156" w:afterLines="50" w:after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2×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HIProof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Q5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PCR Mix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（</w:t>
      </w:r>
      <w:r>
        <w:rPr>
          <w:rFonts w:ascii="Times New Roman" w:eastAsia="微软雅黑" w:hAnsi="Times New Roman" w:cs="Times New Roman"/>
          <w:b/>
          <w:sz w:val="36"/>
          <w:szCs w:val="36"/>
        </w:rPr>
        <w:t>with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out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dye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）</w:t>
      </w:r>
    </w:p>
    <w:p w:rsidR="00CE4F52" w:rsidRDefault="00392333" w:rsidP="00A418F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EP00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1mL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CE4F52" w:rsidRDefault="00392333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</w:rPr>
        <w:t>HIProof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Q5 PCR Mix</w:t>
      </w:r>
      <w:r>
        <w:rPr>
          <w:rFonts w:ascii="Times New Roman" w:eastAsia="宋体" w:hAnsi="Times New Roman" w:cs="Times New Roman" w:hint="eastAsia"/>
          <w:sz w:val="24"/>
        </w:rPr>
        <w:t>（不</w:t>
      </w:r>
      <w:r>
        <w:rPr>
          <w:rFonts w:ascii="Times New Roman" w:eastAsia="宋体" w:hAnsi="Times New Roman" w:cs="Times New Roman"/>
          <w:sz w:val="24"/>
        </w:rPr>
        <w:t>含染料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含有经过基因工程改造的高保真</w:t>
      </w:r>
      <w:r>
        <w:rPr>
          <w:rFonts w:ascii="Times New Roman" w:eastAsia="宋体" w:hAnsi="Times New Roman" w:cs="Times New Roman"/>
          <w:sz w:val="24"/>
        </w:rPr>
        <w:t>DNA</w:t>
      </w:r>
      <w:r>
        <w:rPr>
          <w:rFonts w:ascii="Times New Roman" w:eastAsia="宋体" w:hAnsi="Times New Roman" w:cs="Times New Roman" w:hint="eastAsia"/>
          <w:sz w:val="24"/>
        </w:rPr>
        <w:t>聚合酶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dNTPs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MgCl</w:t>
      </w:r>
      <w:r>
        <w:rPr>
          <w:rFonts w:ascii="Times New Roman" w:eastAsia="宋体" w:hAnsi="Times New Roman" w:cs="Times New Roman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</w:rPr>
        <w:t>、特殊的稳定剂及优化的缓冲体系，具有超高的扩增保真度、灵敏度和扩增效率，还具有耐扩增抑制因子等典型优势；其扩增产物为平末端</w:t>
      </w:r>
      <w:r>
        <w:rPr>
          <w:rFonts w:ascii="Times New Roman" w:eastAsia="宋体" w:hAnsi="Times New Roman" w:cs="Times New Roman" w:hint="eastAsia"/>
          <w:sz w:val="24"/>
        </w:rPr>
        <w:t>，可直接用于无缝克隆实验</w:t>
      </w:r>
      <w:r>
        <w:rPr>
          <w:rFonts w:ascii="Times New Roman" w:eastAsia="宋体" w:hAnsi="Times New Roman" w:cs="Times New Roman"/>
          <w:sz w:val="24"/>
        </w:rPr>
        <w:t>；使用时只需加入模板、引物和水，使其工作浓度为</w:t>
      </w:r>
      <w:r>
        <w:rPr>
          <w:rFonts w:ascii="Times New Roman" w:eastAsia="宋体" w:hAnsi="Times New Roman" w:cs="Times New Roman"/>
          <w:sz w:val="24"/>
        </w:rPr>
        <w:t>1×</w:t>
      </w:r>
      <w:r>
        <w:rPr>
          <w:rFonts w:ascii="Times New Roman" w:eastAsia="宋体" w:hAnsi="Times New Roman" w:cs="Times New Roman"/>
          <w:sz w:val="24"/>
        </w:rPr>
        <w:t>即可进行反应，可有效减少操作时间，避免因多步操作带来污染的风险。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5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627"/>
        <w:gridCol w:w="2554"/>
        <w:gridCol w:w="2555"/>
      </w:tblGrid>
      <w:tr w:rsidR="00CE4F52">
        <w:trPr>
          <w:trHeight w:hRule="exact" w:val="441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311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EP00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2-01</w:t>
            </w:r>
          </w:p>
        </w:tc>
        <w:tc>
          <w:tcPr>
            <w:tcW w:w="1311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EP00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2-02</w:t>
            </w:r>
          </w:p>
        </w:tc>
      </w:tr>
      <w:tr w:rsidR="00CE4F52">
        <w:trPr>
          <w:trHeight w:hRule="exact" w:val="474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HIProof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Q5 PCR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without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2554" w:type="dxa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  <w:tc>
          <w:tcPr>
            <w:tcW w:w="1311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1mL</w:t>
            </w:r>
          </w:p>
        </w:tc>
      </w:tr>
      <w:tr w:rsidR="00CE4F52">
        <w:trPr>
          <w:trHeight w:hRule="exact" w:val="474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</w:rPr>
              <w:t>× DNA Loading Buffer</w:t>
            </w:r>
          </w:p>
        </w:tc>
        <w:tc>
          <w:tcPr>
            <w:tcW w:w="2554" w:type="dxa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1mL</w:t>
            </w:r>
          </w:p>
        </w:tc>
        <w:tc>
          <w:tcPr>
            <w:tcW w:w="1311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.5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</w:tr>
    </w:tbl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E4F52" w:rsidRDefault="00392333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。反复冻融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次不影响扩增效率，但仍建议在第一次融解后充分混匀，分装后于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保存，以避免多次反复冻融可能造成的影响。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CE4F52" w:rsidRDefault="00392333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本产品经质量检测，不含脱氧核糖核酸内切酶活性、脱氧核糖核酸外切酶活性和核糖核酸酶污染；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方法检测无宿主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残留；能有效扩增植物基因组中的单拷贝基因。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产品特点：</w:t>
      </w:r>
    </w:p>
    <w:p w:rsidR="00CE4F52" w:rsidRDefault="00392333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超高保真：保真度为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为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普通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酶的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倍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以上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，是超高保真度聚合酶之一。</w:t>
      </w:r>
    </w:p>
    <w:p w:rsidR="00CE4F52" w:rsidRDefault="00392333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快速：对于简单模板扩增速度可达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1kb / 15s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，复杂模板扩增速度可达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1kb / 30s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CE4F52" w:rsidRDefault="00392333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高效：独特配方的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反应体系，使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扩增反应更稳定、高效。</w:t>
      </w:r>
    </w:p>
    <w:p w:rsidR="00CE4F52" w:rsidRDefault="00392333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高灵敏：可从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0.05ng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人基因组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模板中扩增出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1.5kb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特定基因片段。</w:t>
      </w:r>
    </w:p>
    <w:p w:rsidR="00CE4F52" w:rsidRDefault="00392333">
      <w:pPr>
        <w:numPr>
          <w:ilvl w:val="0"/>
          <w:numId w:val="1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抗抑制剂：对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抑制剂有良好的耐受性，可以适应不同纯度模板的扩增需求。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产品用途：</w:t>
      </w:r>
    </w:p>
    <w:p w:rsidR="00CE4F52" w:rsidRDefault="00392333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普通及高保真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快速扩增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、复杂及高（低）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GC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含量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的扩增、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片段拼接、定点突变、全基因合成、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末端补平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、长片段（基因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片段的扩增（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≤ 15 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Plasmid 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片段的扩增（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≤ 15 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））等。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操作方法：</w:t>
      </w:r>
    </w:p>
    <w:p w:rsidR="00CE4F52" w:rsidRDefault="00392333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反应所需溶液室温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平衡至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完全溶解，充分混匀后于冰上进行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反应体系配置。</w:t>
      </w:r>
    </w:p>
    <w:tbl>
      <w:tblPr>
        <w:tblStyle w:val="a6"/>
        <w:tblpPr w:leftFromText="180" w:rightFromText="180" w:vertAnchor="text" w:horzAnchor="page" w:tblpX="1071" w:tblpY="428"/>
        <w:tblOverlap w:val="never"/>
        <w:tblW w:w="4997" w:type="pct"/>
        <w:tblLook w:val="04A0" w:firstRow="1" w:lastRow="0" w:firstColumn="1" w:lastColumn="0" w:noHBand="0" w:noVBand="1"/>
      </w:tblPr>
      <w:tblGrid>
        <w:gridCol w:w="4356"/>
        <w:gridCol w:w="2799"/>
        <w:gridCol w:w="2801"/>
      </w:tblGrid>
      <w:tr w:rsidR="00CE4F52">
        <w:trPr>
          <w:trHeight w:val="23"/>
        </w:trPr>
        <w:tc>
          <w:tcPr>
            <w:tcW w:w="2187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1405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25μL</w:t>
            </w:r>
            <w:r>
              <w:rPr>
                <w:rFonts w:ascii="Times New Roman" w:eastAsia="宋体" w:hAnsi="Times New Roman" w:cs="Times New Roman"/>
                <w:sz w:val="24"/>
              </w:rPr>
              <w:t>体系</w:t>
            </w:r>
          </w:p>
        </w:tc>
        <w:tc>
          <w:tcPr>
            <w:tcW w:w="1406" w:type="pct"/>
            <w:tcBorders>
              <w:left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终浓度</w:t>
            </w:r>
          </w:p>
        </w:tc>
      </w:tr>
      <w:tr w:rsidR="00CE4F52">
        <w:trPr>
          <w:trHeight w:val="23"/>
        </w:trPr>
        <w:tc>
          <w:tcPr>
            <w:tcW w:w="2187" w:type="pct"/>
            <w:tcBorders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2×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HIProof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 xml:space="preserve"> Q5 PCR Mix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without dye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405" w:type="pct"/>
            <w:tcBorders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12.5μL</w:t>
            </w:r>
          </w:p>
        </w:tc>
        <w:tc>
          <w:tcPr>
            <w:tcW w:w="1406" w:type="pct"/>
            <w:tcBorders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</w:p>
        </w:tc>
      </w:tr>
      <w:tr w:rsidR="00CE4F52">
        <w:trPr>
          <w:trHeight w:val="23"/>
        </w:trPr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</w:tcPr>
          <w:p w:rsidR="00CE4F52" w:rsidRDefault="0039233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 (10µM)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CE4F52">
        <w:trPr>
          <w:trHeight w:val="23"/>
        </w:trPr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</w:tcPr>
          <w:p w:rsidR="00CE4F52" w:rsidRDefault="0039233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Primer II (10µM)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0.5-2.5μL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0.2-1.0μM</w:t>
            </w:r>
          </w:p>
        </w:tc>
      </w:tr>
      <w:tr w:rsidR="00CE4F52">
        <w:trPr>
          <w:trHeight w:val="23"/>
        </w:trPr>
        <w:tc>
          <w:tcPr>
            <w:tcW w:w="2187" w:type="pct"/>
            <w:tcBorders>
              <w:top w:val="nil"/>
              <w:left w:val="nil"/>
              <w:bottom w:val="nil"/>
              <w:right w:val="nil"/>
            </w:tcBorders>
          </w:tcPr>
          <w:p w:rsidR="00CE4F52" w:rsidRDefault="0039233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Template DNA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2μL as required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  <w:tr w:rsidR="00CE4F52">
        <w:trPr>
          <w:trHeight w:val="23"/>
        </w:trPr>
        <w:tc>
          <w:tcPr>
            <w:tcW w:w="2187" w:type="pct"/>
            <w:tcBorders>
              <w:top w:val="nil"/>
              <w:left w:val="nil"/>
              <w:right w:val="nil"/>
            </w:tcBorders>
          </w:tcPr>
          <w:p w:rsidR="00CE4F52" w:rsidRDefault="00392333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ddH</w:t>
            </w:r>
            <w:r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O</w:t>
            </w:r>
          </w:p>
        </w:tc>
        <w:tc>
          <w:tcPr>
            <w:tcW w:w="1405" w:type="pct"/>
            <w:tcBorders>
              <w:top w:val="nil"/>
              <w:left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Up to 25μL</w:t>
            </w:r>
          </w:p>
        </w:tc>
        <w:tc>
          <w:tcPr>
            <w:tcW w:w="1406" w:type="pct"/>
            <w:tcBorders>
              <w:top w:val="nil"/>
              <w:left w:val="nil"/>
              <w:right w:val="nil"/>
            </w:tcBorders>
            <w:vAlign w:val="center"/>
          </w:tcPr>
          <w:p w:rsidR="00CE4F52" w:rsidRDefault="0039233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—</w:t>
            </w:r>
          </w:p>
        </w:tc>
      </w:tr>
    </w:tbl>
    <w:p w:rsidR="00CE4F52" w:rsidRDefault="00392333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按照推荐的扩增体系完成加样后，温和混匀并短暂离心后再放入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仪进行反应。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反应条件：</w:t>
      </w:r>
    </w:p>
    <w:p w:rsidR="00CE4F52" w:rsidRDefault="00392333">
      <w:p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通常情况下，可以采用两步法进行反应；如果两步法扩增不理想，可以采用三步法设置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反应程序。鉴于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模板中目标基因丰度的不确定性，建议初次扩增时使用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35-38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个循环，根据扩增结果再调整扩增循环数。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2863"/>
        <w:gridCol w:w="2951"/>
        <w:gridCol w:w="4144"/>
      </w:tblGrid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方法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步骤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反应时间</w:t>
            </w:r>
          </w:p>
        </w:tc>
        <w:tc>
          <w:tcPr>
            <w:tcW w:w="2080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循环数</w:t>
            </w:r>
          </w:p>
        </w:tc>
      </w:tr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>℃</w:t>
            </w:r>
            <w:r>
              <w:rPr>
                <w:rFonts w:ascii="Times New Roman" w:hAnsi="Times New Roman" w:cs="Times New Roman"/>
                <w:bCs/>
                <w:sz w:val="24"/>
              </w:rPr>
              <w:t>（预变性）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0sec</w:t>
            </w:r>
          </w:p>
        </w:tc>
        <w:tc>
          <w:tcPr>
            <w:tcW w:w="2080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>℃</w:t>
            </w:r>
            <w:r>
              <w:rPr>
                <w:rFonts w:ascii="Times New Roman" w:hAnsi="Times New Roman" w:cs="Times New Roman"/>
                <w:bCs/>
                <w:sz w:val="24"/>
              </w:rPr>
              <w:t>（变性）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0sec</w:t>
            </w:r>
          </w:p>
        </w:tc>
        <w:tc>
          <w:tcPr>
            <w:tcW w:w="2080" w:type="pct"/>
            <w:vMerge w:val="restar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</w:rPr>
              <w:t>-40Cycles</w:t>
            </w:r>
          </w:p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（质粒或基因组模板：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</w:rPr>
              <w:t>-35cycles</w:t>
            </w:r>
            <w:r>
              <w:rPr>
                <w:rFonts w:ascii="Times New Roman" w:hAnsi="Times New Roman" w:cs="Times New Roman"/>
                <w:bCs/>
                <w:sz w:val="24"/>
              </w:rPr>
              <w:t>；</w:t>
            </w:r>
          </w:p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cDNA</w:t>
            </w:r>
            <w:r>
              <w:rPr>
                <w:rFonts w:ascii="Times New Roman" w:hAnsi="Times New Roman" w:cs="Times New Roman"/>
                <w:bCs/>
                <w:sz w:val="24"/>
              </w:rPr>
              <w:t>模板：</w:t>
            </w:r>
            <w:r>
              <w:rPr>
                <w:rFonts w:ascii="Times New Roman" w:hAnsi="Times New Roman" w:cs="Times New Roman"/>
                <w:bCs/>
                <w:sz w:val="24"/>
              </w:rPr>
              <w:t>30-40cycles</w:t>
            </w:r>
            <w:r>
              <w:rPr>
                <w:rFonts w:ascii="Times New Roman" w:hAnsi="Times New Roman" w:cs="Times New Roman"/>
                <w:bCs/>
                <w:sz w:val="24"/>
              </w:rPr>
              <w:t>）</w:t>
            </w:r>
          </w:p>
        </w:tc>
      </w:tr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55℃-6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</w:rPr>
              <w:t>℃</w:t>
            </w:r>
            <w:r>
              <w:rPr>
                <w:rFonts w:ascii="Times New Roman" w:hAnsi="Times New Roman" w:cs="Times New Roman"/>
                <w:bCs/>
                <w:sz w:val="24"/>
              </w:rPr>
              <w:t>（退火）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0sec</w:t>
            </w:r>
          </w:p>
        </w:tc>
        <w:tc>
          <w:tcPr>
            <w:tcW w:w="2080" w:type="pct"/>
            <w:vMerge/>
            <w:vAlign w:val="center"/>
          </w:tcPr>
          <w:p w:rsidR="00CE4F52" w:rsidRDefault="00CE4F5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（延伸）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15-30sec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kb</w:t>
            </w:r>
          </w:p>
        </w:tc>
        <w:tc>
          <w:tcPr>
            <w:tcW w:w="2080" w:type="pct"/>
            <w:vMerge/>
            <w:vAlign w:val="center"/>
          </w:tcPr>
          <w:p w:rsidR="00CE4F52" w:rsidRDefault="00CE4F5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72℃</w:t>
            </w:r>
            <w:r>
              <w:rPr>
                <w:rFonts w:ascii="Times New Roman" w:hAnsi="Times New Roman" w:cs="Times New Roman"/>
                <w:bCs/>
                <w:sz w:val="24"/>
              </w:rPr>
              <w:t>（终延伸）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5min</w:t>
            </w:r>
          </w:p>
        </w:tc>
        <w:tc>
          <w:tcPr>
            <w:tcW w:w="2080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CE4F52">
        <w:tc>
          <w:tcPr>
            <w:tcW w:w="1437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4℃/</w:t>
            </w:r>
            <w:r>
              <w:rPr>
                <w:rFonts w:ascii="Times New Roman" w:hAnsi="Times New Roman" w:cs="Times New Roman"/>
                <w:bCs/>
                <w:sz w:val="24"/>
              </w:rPr>
              <w:t>16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℃</w:t>
            </w:r>
            <w:r>
              <w:rPr>
                <w:rFonts w:ascii="Times New Roman" w:hAnsi="Times New Roman" w:cs="Times New Roman"/>
                <w:bCs/>
                <w:sz w:val="24"/>
              </w:rPr>
              <w:t>（降温）</w:t>
            </w:r>
          </w:p>
        </w:tc>
        <w:tc>
          <w:tcPr>
            <w:tcW w:w="1481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∞</w:t>
            </w:r>
          </w:p>
        </w:tc>
        <w:tc>
          <w:tcPr>
            <w:tcW w:w="2080" w:type="pct"/>
            <w:vAlign w:val="center"/>
          </w:tcPr>
          <w:p w:rsidR="00CE4F52" w:rsidRDefault="0039233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</w:tbl>
    <w:p w:rsidR="00CE4F52" w:rsidRDefault="00392333">
      <w:pPr>
        <w:widowControl/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2"/>
          <w:szCs w:val="21"/>
        </w:rPr>
        <w:t>注：反应条件可以根据实际需求进行适当调整和优化。</w:t>
      </w:r>
    </w:p>
    <w:p w:rsidR="00CE4F52" w:rsidRDefault="00392333">
      <w:pPr>
        <w:widowControl/>
        <w:spacing w:beforeLines="50" w:before="156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CE4F52" w:rsidRDefault="00392333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根据引物选择合适的退火（延伸）温度，引物终浓度可在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0.2-1.0μM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范围内调整。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 </w:t>
      </w:r>
    </w:p>
    <w:p w:rsidR="00CE4F52" w:rsidRDefault="00392333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模板可根据浓度进行适当调整，质粒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0pg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ng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），基因组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10-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00ng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病毒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10pg-10ng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模板（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~5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μL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反转录产物），针对复杂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以及高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GC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含量模板，可选择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GC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Enhancer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，可显著增强的扩增效果。</w:t>
      </w:r>
    </w:p>
    <w:p w:rsidR="00CE4F52" w:rsidRDefault="00392333">
      <w:pPr>
        <w:numPr>
          <w:ilvl w:val="0"/>
          <w:numId w:val="3"/>
        </w:numPr>
        <w:spacing w:line="44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扩增前后要使用专用的区域和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移液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器，戴手套操作并经常更换，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反应完成后切勿直接打开反应管，可放于</w:t>
      </w:r>
      <w:r>
        <w:rPr>
          <w:rFonts w:ascii="Times New Roman" w:eastAsia="宋体" w:hAnsi="Times New Roman" w:cs="Times New Roman"/>
          <w:sz w:val="24"/>
        </w:rPr>
        <w:t>4℃</w:t>
      </w:r>
      <w:r>
        <w:rPr>
          <w:rFonts w:ascii="Times New Roman" w:eastAsia="宋体" w:hAnsi="Times New Roman" w:cs="Times New Roman"/>
          <w:sz w:val="24"/>
        </w:rPr>
        <w:t>或者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充分冷却后再进行开盖操作，以最大限度的减少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产物可能对实验环境产生污染的风险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CE4F52" w:rsidRDefault="00CE4F52">
      <w:pPr>
        <w:spacing w:line="400" w:lineRule="exact"/>
        <w:rPr>
          <w:rFonts w:ascii="Times New Roman" w:hAnsi="Times New Roman" w:cs="Times New Roman"/>
          <w:sz w:val="24"/>
        </w:rPr>
      </w:pPr>
    </w:p>
    <w:sectPr w:rsidR="00CE4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33" w:rsidRDefault="00392333">
      <w:r>
        <w:separator/>
      </w:r>
    </w:p>
  </w:endnote>
  <w:endnote w:type="continuationSeparator" w:id="0">
    <w:p w:rsidR="00392333" w:rsidRDefault="0039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FD" w:rsidRDefault="00A418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52" w:rsidRDefault="00CE4F5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FD" w:rsidRDefault="00A418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33" w:rsidRDefault="00392333">
      <w:r>
        <w:separator/>
      </w:r>
    </w:p>
  </w:footnote>
  <w:footnote w:type="continuationSeparator" w:id="0">
    <w:p w:rsidR="00392333" w:rsidRDefault="00392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FD" w:rsidRDefault="00A418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52" w:rsidRDefault="00392333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FD" w:rsidRDefault="00A418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8FABB"/>
    <w:multiLevelType w:val="singleLevel"/>
    <w:tmpl w:val="81C8FABB"/>
    <w:lvl w:ilvl="0">
      <w:start w:val="1"/>
      <w:numFmt w:val="decimal"/>
      <w:suff w:val="space"/>
      <w:lvlText w:val="%1."/>
      <w:lvlJc w:val="left"/>
    </w:lvl>
  </w:abstractNum>
  <w:abstractNum w:abstractNumId="1">
    <w:nsid w:val="F2DDD62C"/>
    <w:multiLevelType w:val="singleLevel"/>
    <w:tmpl w:val="F2DDD62C"/>
    <w:lvl w:ilvl="0">
      <w:start w:val="1"/>
      <w:numFmt w:val="decimal"/>
      <w:suff w:val="space"/>
      <w:lvlText w:val="%1."/>
      <w:lvlJc w:val="left"/>
    </w:lvl>
  </w:abstractNum>
  <w:abstractNum w:abstractNumId="2">
    <w:nsid w:val="14209C9C"/>
    <w:multiLevelType w:val="singleLevel"/>
    <w:tmpl w:val="14209C9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E4F52"/>
    <w:rsid w:val="000A71EE"/>
    <w:rsid w:val="00392333"/>
    <w:rsid w:val="00A418FD"/>
    <w:rsid w:val="00CE4F52"/>
    <w:rsid w:val="012074A4"/>
    <w:rsid w:val="01730D53"/>
    <w:rsid w:val="01B627F0"/>
    <w:rsid w:val="0239547A"/>
    <w:rsid w:val="03372B16"/>
    <w:rsid w:val="04674A3A"/>
    <w:rsid w:val="05410FC1"/>
    <w:rsid w:val="06F50338"/>
    <w:rsid w:val="071B4C37"/>
    <w:rsid w:val="08FA1588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9DB686C"/>
    <w:rsid w:val="1A044257"/>
    <w:rsid w:val="1A374A56"/>
    <w:rsid w:val="1AB04381"/>
    <w:rsid w:val="1F320CD8"/>
    <w:rsid w:val="1FF63B2C"/>
    <w:rsid w:val="202478AD"/>
    <w:rsid w:val="21A00317"/>
    <w:rsid w:val="22556D6A"/>
    <w:rsid w:val="248F33F1"/>
    <w:rsid w:val="2771308E"/>
    <w:rsid w:val="292E4A64"/>
    <w:rsid w:val="29CA60A8"/>
    <w:rsid w:val="2BFE3231"/>
    <w:rsid w:val="324056DF"/>
    <w:rsid w:val="343C3F54"/>
    <w:rsid w:val="34766DCF"/>
    <w:rsid w:val="35447F8D"/>
    <w:rsid w:val="358D0F0B"/>
    <w:rsid w:val="35F068AA"/>
    <w:rsid w:val="37340F35"/>
    <w:rsid w:val="376618D0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21A1D78"/>
    <w:rsid w:val="438F528D"/>
    <w:rsid w:val="448B4882"/>
    <w:rsid w:val="489363E0"/>
    <w:rsid w:val="49F80122"/>
    <w:rsid w:val="4A042813"/>
    <w:rsid w:val="4B4711F0"/>
    <w:rsid w:val="4B485BA6"/>
    <w:rsid w:val="4D164B7A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673D38"/>
    <w:rsid w:val="54710F99"/>
    <w:rsid w:val="54B94DA4"/>
    <w:rsid w:val="55F84612"/>
    <w:rsid w:val="57034A09"/>
    <w:rsid w:val="585B21BB"/>
    <w:rsid w:val="58D32749"/>
    <w:rsid w:val="5A3B2434"/>
    <w:rsid w:val="5AC86291"/>
    <w:rsid w:val="5B783B11"/>
    <w:rsid w:val="5D7C065F"/>
    <w:rsid w:val="5D8114B1"/>
    <w:rsid w:val="5EB46D84"/>
    <w:rsid w:val="5ECA0EDF"/>
    <w:rsid w:val="5F04373C"/>
    <w:rsid w:val="604663A9"/>
    <w:rsid w:val="61071063"/>
    <w:rsid w:val="61B943D3"/>
    <w:rsid w:val="635973E4"/>
    <w:rsid w:val="65605ABA"/>
    <w:rsid w:val="66655AF0"/>
    <w:rsid w:val="66AE3D8B"/>
    <w:rsid w:val="67E8720F"/>
    <w:rsid w:val="68283A50"/>
    <w:rsid w:val="68EE777B"/>
    <w:rsid w:val="6918002D"/>
    <w:rsid w:val="6B2D5D6A"/>
    <w:rsid w:val="6B3D6C20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7BC34F4"/>
    <w:rsid w:val="7B4E45C4"/>
    <w:rsid w:val="7BCF7EF3"/>
    <w:rsid w:val="7DEC2FF1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A30CB7B54F07476EB119078160700468</vt:lpwstr>
  </property>
</Properties>
</file>