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79C" w:rsidRDefault="001A279C">
      <w:pPr>
        <w:rPr>
          <w:rFonts w:ascii="Times New Roman" w:hAnsi="Times New Roman" w:cs="Times New Roman"/>
          <w:vanish/>
          <w:sz w:val="24"/>
        </w:rPr>
      </w:pPr>
    </w:p>
    <w:tbl>
      <w:tblPr>
        <w:tblStyle w:val="a6"/>
        <w:tblpPr w:leftFromText="180" w:rightFromText="180" w:vertAnchor="page" w:horzAnchor="page" w:tblpXSpec="center" w:tblpY="1506"/>
        <w:tblOverlap w:val="never"/>
        <w:tblW w:w="101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40"/>
      </w:tblGrid>
      <w:tr w:rsidR="001A279C">
        <w:trPr>
          <w:trHeight w:val="412"/>
          <w:jc w:val="center"/>
        </w:trPr>
        <w:tc>
          <w:tcPr>
            <w:tcW w:w="10140" w:type="dxa"/>
            <w:tcBorders>
              <w:tl2br w:val="nil"/>
              <w:tr2bl w:val="nil"/>
            </w:tcBorders>
          </w:tcPr>
          <w:p w:rsidR="001A279C" w:rsidRDefault="00BC4357">
            <w:pPr>
              <w:rPr>
                <w:rFonts w:ascii="Times New Roman" w:eastAsia="黑体" w:hAnsi="Times New Roman" w:cs="Times New Roman"/>
                <w:b/>
                <w:bCs/>
                <w:sz w:val="24"/>
                <w:szCs w:val="32"/>
              </w:rPr>
            </w:pPr>
            <w:bookmarkStart w:id="0" w:name="_GoBack"/>
            <w:bookmarkEnd w:id="0"/>
            <w:r>
              <w:rPr>
                <w:rFonts w:ascii="Times New Roman" w:eastAsia="黑体" w:hAnsi="Times New Roman" w:cs="Times New Roman"/>
                <w:b/>
                <w:bCs/>
                <w:sz w:val="24"/>
                <w:szCs w:val="32"/>
              </w:rPr>
              <w:t>使用前请仔细阅读说明书</w:t>
            </w:r>
            <w:r>
              <w:rPr>
                <w:rFonts w:ascii="Times New Roman" w:eastAsia="黑体" w:hAnsi="Times New Roman" w:cs="Times New Roman"/>
                <w:b/>
                <w:bCs/>
                <w:sz w:val="24"/>
                <w:szCs w:val="32"/>
              </w:rPr>
              <w:t xml:space="preserve">                                               </w:t>
            </w:r>
            <w:r>
              <w:rPr>
                <w:rFonts w:ascii="Times New Roman" w:eastAsia="黑体" w:hAnsi="Times New Roman" w:cs="Times New Roman"/>
                <w:b/>
                <w:bCs/>
                <w:sz w:val="24"/>
                <w:szCs w:val="32"/>
              </w:rPr>
              <w:t>版本号：</w:t>
            </w:r>
            <w:r>
              <w:rPr>
                <w:rFonts w:ascii="Times New Roman" w:eastAsia="黑体" w:hAnsi="Times New Roman" w:cs="Times New Roman"/>
                <w:b/>
                <w:bCs/>
                <w:sz w:val="24"/>
                <w:szCs w:val="32"/>
              </w:rPr>
              <w:t>202202</w:t>
            </w:r>
          </w:p>
        </w:tc>
      </w:tr>
    </w:tbl>
    <w:p w:rsidR="001A279C" w:rsidRDefault="00BC4357" w:rsidP="0001666B">
      <w:pPr>
        <w:spacing w:beforeLines="50" w:before="156" w:afterLines="50" w:after="156" w:line="400" w:lineRule="exact"/>
        <w:jc w:val="center"/>
        <w:rPr>
          <w:rFonts w:ascii="Times New Roman" w:eastAsia="微软雅黑" w:hAnsi="Times New Roman" w:cs="Times New Roman"/>
          <w:b/>
          <w:bCs/>
          <w:sz w:val="28"/>
          <w:szCs w:val="28"/>
        </w:rPr>
      </w:pPr>
      <w:r>
        <w:rPr>
          <w:rFonts w:ascii="Times New Roman" w:eastAsia="微软雅黑" w:hAnsi="Times New Roman" w:cs="Times New Roman"/>
          <w:b/>
          <w:sz w:val="36"/>
          <w:szCs w:val="36"/>
        </w:rPr>
        <w:t>2× SYBR Green qPCR Mix</w:t>
      </w:r>
    </w:p>
    <w:p w:rsidR="001A279C" w:rsidRDefault="00BC4357" w:rsidP="0001666B">
      <w:pPr>
        <w:spacing w:beforeLines="50" w:before="156" w:line="420" w:lineRule="exact"/>
        <w:jc w:val="left"/>
        <w:rPr>
          <w:rFonts w:ascii="Times New Roman" w:eastAsia="黑体" w:hAnsi="Times New Roman" w:cs="Times New Roman"/>
          <w:b/>
          <w:bCs/>
          <w:sz w:val="28"/>
          <w:szCs w:val="28"/>
        </w:rPr>
      </w:pPr>
      <w:r>
        <w:rPr>
          <w:rFonts w:ascii="Times New Roman" w:eastAsia="黑体" w:hAnsi="Times New Roman" w:cs="Times New Roman"/>
          <w:b/>
          <w:bCs/>
          <w:sz w:val="28"/>
          <w:szCs w:val="28"/>
        </w:rPr>
        <w:t>货号</w:t>
      </w:r>
      <w:r>
        <w:rPr>
          <w:rFonts w:ascii="Times New Roman" w:eastAsia="黑体" w:hAnsi="Times New Roman" w:cs="Times New Roman"/>
          <w:b/>
          <w:bCs/>
          <w:sz w:val="28"/>
          <w:szCs w:val="28"/>
        </w:rPr>
        <w:t>：</w:t>
      </w:r>
      <w:r>
        <w:rPr>
          <w:rFonts w:ascii="Times New Roman" w:eastAsia="黑体" w:hAnsi="Times New Roman" w:cs="Times New Roman"/>
          <w:b/>
          <w:bCs/>
          <w:sz w:val="28"/>
          <w:szCs w:val="28"/>
        </w:rPr>
        <w:t xml:space="preserve">EH003                 </w:t>
      </w:r>
      <w:r>
        <w:rPr>
          <w:rFonts w:ascii="Times New Roman" w:eastAsia="黑体" w:hAnsi="Times New Roman" w:cs="Times New Roman"/>
          <w:b/>
          <w:bCs/>
          <w:sz w:val="28"/>
          <w:szCs w:val="28"/>
        </w:rPr>
        <w:t>规格：</w:t>
      </w:r>
      <w:r>
        <w:rPr>
          <w:rFonts w:ascii="Times New Roman" w:eastAsia="黑体" w:hAnsi="Times New Roman" w:cs="Times New Roman"/>
          <w:b/>
          <w:bCs/>
          <w:sz w:val="28"/>
          <w:szCs w:val="28"/>
        </w:rPr>
        <w:t xml:space="preserve">1mL                </w:t>
      </w:r>
      <w:r>
        <w:rPr>
          <w:rFonts w:ascii="Times New Roman" w:eastAsia="黑体" w:hAnsi="Times New Roman" w:cs="Times New Roman"/>
          <w:b/>
          <w:bCs/>
          <w:sz w:val="28"/>
          <w:szCs w:val="28"/>
        </w:rPr>
        <w:t>保存：</w:t>
      </w:r>
      <w:r>
        <w:rPr>
          <w:rFonts w:ascii="Times New Roman" w:eastAsia="黑体" w:hAnsi="Times New Roman" w:cs="Times New Roman"/>
          <w:b/>
          <w:bCs/>
          <w:sz w:val="28"/>
          <w:szCs w:val="28"/>
        </w:rPr>
        <w:t>-20℃</w:t>
      </w:r>
      <w:r>
        <w:rPr>
          <w:rFonts w:ascii="Times New Roman" w:eastAsia="黑体" w:hAnsi="Times New Roman" w:cs="Times New Roman"/>
          <w:b/>
          <w:bCs/>
          <w:sz w:val="28"/>
          <w:szCs w:val="28"/>
        </w:rPr>
        <w:t>保存</w:t>
      </w:r>
    </w:p>
    <w:p w:rsidR="001A279C" w:rsidRDefault="00BC4357">
      <w:pPr>
        <w:widowControl/>
        <w:spacing w:beforeLines="50" w:before="156" w:line="460" w:lineRule="exact"/>
        <w:rPr>
          <w:rFonts w:ascii="Times New Roman" w:hAnsi="Times New Roman" w:cs="Times New Roman"/>
          <w:b/>
          <w:sz w:val="28"/>
          <w:szCs w:val="28"/>
        </w:rPr>
      </w:pPr>
      <w:r>
        <w:rPr>
          <w:rFonts w:ascii="Times New Roman" w:hAnsi="Times New Roman" w:cs="Times New Roman"/>
          <w:b/>
          <w:sz w:val="28"/>
          <w:szCs w:val="28"/>
        </w:rPr>
        <w:t>产品简介：</w:t>
      </w:r>
    </w:p>
    <w:p w:rsidR="001A279C" w:rsidRDefault="00BC4357">
      <w:pPr>
        <w:spacing w:line="46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本产品是采用</w:t>
      </w:r>
      <w:r>
        <w:rPr>
          <w:rFonts w:ascii="Times New Roman" w:eastAsia="宋体" w:hAnsi="Times New Roman" w:cs="Times New Roman"/>
          <w:sz w:val="24"/>
        </w:rPr>
        <w:t>SYBR Green I</w:t>
      </w:r>
      <w:r>
        <w:rPr>
          <w:rFonts w:ascii="Times New Roman" w:eastAsia="宋体" w:hAnsi="Times New Roman" w:cs="Times New Roman"/>
          <w:sz w:val="24"/>
        </w:rPr>
        <w:t>染料嵌合荧光法进行</w:t>
      </w:r>
      <w:r>
        <w:rPr>
          <w:rFonts w:ascii="Times New Roman" w:eastAsia="宋体" w:hAnsi="Times New Roman" w:cs="Times New Roman"/>
          <w:sz w:val="24"/>
        </w:rPr>
        <w:t xml:space="preserve">Real Time </w:t>
      </w:r>
      <w:r>
        <w:rPr>
          <w:rFonts w:ascii="Times New Roman" w:eastAsia="宋体" w:hAnsi="Times New Roman" w:cs="Times New Roman"/>
          <w:sz w:val="24"/>
        </w:rPr>
        <w:t>PCR</w:t>
      </w:r>
      <w:r>
        <w:rPr>
          <w:rFonts w:ascii="Times New Roman" w:eastAsia="宋体" w:hAnsi="Times New Roman" w:cs="Times New Roman"/>
          <w:sz w:val="24"/>
        </w:rPr>
        <w:t>的专用试剂，含有抗体封闭型热启动酶，能够有效抑制低温条件下引物非特异性退火或者引物二聚体引起的非特异性扩增，提高扩增反应的特异性。本产品具备扩增效率高、检测特异性及灵敏度强、稳定性好、操作使用简便等特点，可以在较宽定量区域内得到良好的标准曲线，准确进行定量，同时与</w:t>
      </w:r>
      <w:r>
        <w:rPr>
          <w:rFonts w:ascii="Times New Roman" w:eastAsia="宋体" w:hAnsi="Times New Roman" w:cs="Times New Roman"/>
          <w:sz w:val="24"/>
        </w:rPr>
        <w:t>Applied Biosystems</w:t>
      </w:r>
      <w:r>
        <w:rPr>
          <w:rFonts w:ascii="Times New Roman" w:eastAsia="宋体" w:hAnsi="Times New Roman" w:cs="Times New Roman"/>
          <w:sz w:val="24"/>
        </w:rPr>
        <w:t>、</w:t>
      </w:r>
      <w:r>
        <w:rPr>
          <w:rFonts w:ascii="Times New Roman" w:eastAsia="宋体" w:hAnsi="Times New Roman" w:cs="Times New Roman"/>
          <w:sz w:val="24"/>
        </w:rPr>
        <w:t>Eppendorf</w:t>
      </w:r>
      <w:r>
        <w:rPr>
          <w:rFonts w:ascii="Times New Roman" w:eastAsia="宋体" w:hAnsi="Times New Roman" w:cs="Times New Roman"/>
          <w:sz w:val="24"/>
        </w:rPr>
        <w:t>、</w:t>
      </w:r>
      <w:r>
        <w:rPr>
          <w:rFonts w:ascii="Times New Roman" w:eastAsia="宋体" w:hAnsi="Times New Roman" w:cs="Times New Roman"/>
          <w:sz w:val="24"/>
        </w:rPr>
        <w:t>Bio-Rad</w:t>
      </w:r>
      <w:r>
        <w:rPr>
          <w:rFonts w:ascii="Times New Roman" w:eastAsia="宋体" w:hAnsi="Times New Roman" w:cs="Times New Roman"/>
          <w:sz w:val="24"/>
        </w:rPr>
        <w:t>、</w:t>
      </w:r>
      <w:r>
        <w:rPr>
          <w:rFonts w:ascii="Times New Roman" w:eastAsia="宋体" w:hAnsi="Times New Roman" w:cs="Times New Roman"/>
          <w:sz w:val="24"/>
        </w:rPr>
        <w:t>Roche</w:t>
      </w:r>
      <w:r>
        <w:rPr>
          <w:rFonts w:ascii="Times New Roman" w:eastAsia="宋体" w:hAnsi="Times New Roman" w:cs="Times New Roman"/>
          <w:sz w:val="24"/>
        </w:rPr>
        <w:t>及国产品牌等的多家荧光定量</w:t>
      </w:r>
      <w:r>
        <w:rPr>
          <w:rFonts w:ascii="Times New Roman" w:eastAsia="宋体" w:hAnsi="Times New Roman" w:cs="Times New Roman"/>
          <w:sz w:val="24"/>
        </w:rPr>
        <w:t>PCR</w:t>
      </w:r>
      <w:r>
        <w:rPr>
          <w:rFonts w:ascii="Times New Roman" w:eastAsia="宋体" w:hAnsi="Times New Roman" w:cs="Times New Roman"/>
          <w:sz w:val="24"/>
        </w:rPr>
        <w:t>仪兼容。</w:t>
      </w:r>
    </w:p>
    <w:p w:rsidR="001A279C" w:rsidRDefault="00BC4357">
      <w:pPr>
        <w:widowControl/>
        <w:spacing w:beforeLines="50" w:before="156" w:line="460" w:lineRule="exact"/>
        <w:rPr>
          <w:rFonts w:ascii="Times New Roman" w:hAnsi="Times New Roman" w:cs="Times New Roman"/>
          <w:b/>
          <w:sz w:val="28"/>
          <w:szCs w:val="28"/>
        </w:rPr>
      </w:pPr>
      <w:r>
        <w:rPr>
          <w:rFonts w:ascii="Times New Roman" w:hAnsi="Times New Roman" w:cs="Times New Roman"/>
          <w:b/>
          <w:sz w:val="28"/>
          <w:szCs w:val="28"/>
        </w:rPr>
        <w:t>产品组成：</w:t>
      </w:r>
    </w:p>
    <w:tbl>
      <w:tblPr>
        <w:tblStyle w:val="TableNormal"/>
        <w:tblW w:w="4997" w:type="pct"/>
        <w:tblInd w:w="0" w:type="dxa"/>
        <w:tblBorders>
          <w:top w:val="single" w:sz="2" w:space="0" w:color="3E3E3F"/>
          <w:left w:val="single" w:sz="2" w:space="0" w:color="3E3E3F"/>
          <w:bottom w:val="single" w:sz="2" w:space="0" w:color="3E3E3F"/>
          <w:right w:val="single" w:sz="2" w:space="0" w:color="3E3E3F"/>
          <w:insideH w:val="single" w:sz="2" w:space="0" w:color="3E3E3F"/>
          <w:insideV w:val="single" w:sz="2" w:space="0" w:color="3E3E3F"/>
        </w:tblBorders>
        <w:tblLook w:val="04A0" w:firstRow="1" w:lastRow="0" w:firstColumn="1" w:lastColumn="0" w:noHBand="0" w:noVBand="1"/>
      </w:tblPr>
      <w:tblGrid>
        <w:gridCol w:w="4870"/>
        <w:gridCol w:w="4870"/>
      </w:tblGrid>
      <w:tr w:rsidR="001A279C">
        <w:trPr>
          <w:trHeight w:hRule="exact" w:val="441"/>
        </w:trPr>
        <w:tc>
          <w:tcPr>
            <w:tcW w:w="2500" w:type="pct"/>
            <w:tcBorders>
              <w:left w:val="nil"/>
              <w:right w:val="nil"/>
            </w:tcBorders>
            <w:vAlign w:val="center"/>
          </w:tcPr>
          <w:p w:rsidR="001A279C" w:rsidRDefault="00BC4357">
            <w:pPr>
              <w:spacing w:line="460" w:lineRule="exact"/>
              <w:jc w:val="center"/>
              <w:rPr>
                <w:rFonts w:ascii="Times New Roman" w:hAnsi="Times New Roman" w:cs="Times New Roman"/>
                <w:b/>
                <w:bCs/>
                <w:sz w:val="24"/>
              </w:rPr>
            </w:pPr>
            <w:r>
              <w:rPr>
                <w:rFonts w:ascii="Times New Roman" w:hAnsi="Times New Roman" w:cs="Times New Roman"/>
                <w:sz w:val="24"/>
              </w:rPr>
              <w:t>组分</w:t>
            </w:r>
          </w:p>
        </w:tc>
        <w:tc>
          <w:tcPr>
            <w:tcW w:w="2500" w:type="pct"/>
            <w:tcBorders>
              <w:left w:val="nil"/>
              <w:right w:val="nil"/>
            </w:tcBorders>
            <w:vAlign w:val="center"/>
          </w:tcPr>
          <w:p w:rsidR="001A279C" w:rsidRDefault="00BC4357">
            <w:pPr>
              <w:widowControl/>
              <w:spacing w:line="460" w:lineRule="exact"/>
              <w:jc w:val="center"/>
              <w:textAlignment w:val="center"/>
              <w:rPr>
                <w:rFonts w:ascii="Times New Roman" w:eastAsia="宋体" w:hAnsi="Times New Roman" w:cs="Times New Roman"/>
                <w:color w:val="000000"/>
                <w:kern w:val="0"/>
                <w:sz w:val="24"/>
                <w:lang w:bidi="ar"/>
              </w:rPr>
            </w:pPr>
            <w:r>
              <w:rPr>
                <w:rFonts w:ascii="Times New Roman" w:eastAsia="宋体" w:hAnsi="Times New Roman" w:cs="Times New Roman"/>
                <w:color w:val="000000"/>
                <w:kern w:val="0"/>
                <w:sz w:val="24"/>
                <w:lang w:bidi="ar"/>
              </w:rPr>
              <w:t>E</w:t>
            </w:r>
            <w:r>
              <w:rPr>
                <w:rFonts w:ascii="Times New Roman" w:eastAsia="宋体" w:hAnsi="Times New Roman" w:cs="Times New Roman" w:hint="eastAsia"/>
                <w:color w:val="000000"/>
                <w:kern w:val="0"/>
                <w:sz w:val="24"/>
                <w:lang w:bidi="ar"/>
              </w:rPr>
              <w:t>H</w:t>
            </w:r>
            <w:r>
              <w:rPr>
                <w:rFonts w:ascii="Times New Roman" w:eastAsia="宋体" w:hAnsi="Times New Roman" w:cs="Times New Roman"/>
                <w:color w:val="000000"/>
                <w:kern w:val="0"/>
                <w:sz w:val="24"/>
                <w:lang w:bidi="ar"/>
              </w:rPr>
              <w:t>00</w:t>
            </w:r>
            <w:r>
              <w:rPr>
                <w:rFonts w:ascii="Times New Roman" w:eastAsia="宋体" w:hAnsi="Times New Roman" w:cs="Times New Roman" w:hint="eastAsia"/>
                <w:color w:val="000000"/>
                <w:kern w:val="0"/>
                <w:sz w:val="24"/>
                <w:lang w:bidi="ar"/>
              </w:rPr>
              <w:t>3-02</w:t>
            </w:r>
          </w:p>
        </w:tc>
      </w:tr>
      <w:tr w:rsidR="001A279C">
        <w:trPr>
          <w:trHeight w:hRule="exact" w:val="474"/>
        </w:trPr>
        <w:tc>
          <w:tcPr>
            <w:tcW w:w="2500" w:type="pct"/>
            <w:tcBorders>
              <w:left w:val="nil"/>
              <w:right w:val="nil"/>
            </w:tcBorders>
            <w:vAlign w:val="center"/>
          </w:tcPr>
          <w:p w:rsidR="001A279C" w:rsidRDefault="00BC4357">
            <w:pPr>
              <w:spacing w:line="460" w:lineRule="exact"/>
              <w:jc w:val="center"/>
              <w:rPr>
                <w:rFonts w:ascii="Times New Roman" w:eastAsia="宋体" w:hAnsi="Times New Roman" w:cs="Times New Roman"/>
                <w:sz w:val="24"/>
              </w:rPr>
            </w:pPr>
            <w:r>
              <w:rPr>
                <w:rFonts w:ascii="Times New Roman" w:eastAsia="宋体" w:hAnsi="Times New Roman" w:cs="Times New Roman"/>
                <w:sz w:val="24"/>
              </w:rPr>
              <w:t>2× SYBR Green qPCR Mix</w:t>
            </w:r>
          </w:p>
        </w:tc>
        <w:tc>
          <w:tcPr>
            <w:tcW w:w="2500" w:type="pct"/>
            <w:tcBorders>
              <w:left w:val="nil"/>
              <w:right w:val="nil"/>
            </w:tcBorders>
            <w:vAlign w:val="center"/>
          </w:tcPr>
          <w:p w:rsidR="001A279C" w:rsidRDefault="00BC4357">
            <w:pPr>
              <w:spacing w:line="460" w:lineRule="exact"/>
              <w:jc w:val="center"/>
              <w:rPr>
                <w:rFonts w:ascii="Times New Roman" w:hAnsi="Times New Roman" w:cs="Times New Roman"/>
                <w:sz w:val="24"/>
              </w:rPr>
            </w:pPr>
            <w:r>
              <w:rPr>
                <w:rFonts w:ascii="Times New Roman" w:eastAsia="宋体" w:hAnsi="Times New Roman" w:cs="Times New Roman"/>
                <w:sz w:val="24"/>
              </w:rPr>
              <w:t>1mL</w:t>
            </w:r>
          </w:p>
        </w:tc>
      </w:tr>
    </w:tbl>
    <w:p w:rsidR="001A279C" w:rsidRDefault="00BC4357">
      <w:pPr>
        <w:spacing w:line="460" w:lineRule="exact"/>
        <w:ind w:firstLineChars="200" w:firstLine="482"/>
        <w:rPr>
          <w:rFonts w:ascii="Times New Roman" w:eastAsia="宋体" w:hAnsi="Times New Roman" w:cs="Times New Roman"/>
          <w:color w:val="000000"/>
          <w:kern w:val="0"/>
          <w:sz w:val="24"/>
          <w:lang w:bidi="ar"/>
        </w:rPr>
      </w:pPr>
      <w:r>
        <w:rPr>
          <w:rFonts w:ascii="Times New Roman" w:eastAsia="宋体" w:hAnsi="Times New Roman" w:cs="Times New Roman"/>
          <w:b/>
          <w:bCs/>
          <w:color w:val="000000"/>
          <w:kern w:val="0"/>
          <w:sz w:val="24"/>
          <w:lang w:bidi="ar"/>
        </w:rPr>
        <w:t>注意：</w:t>
      </w:r>
      <w:r>
        <w:rPr>
          <w:rFonts w:ascii="Times New Roman" w:eastAsia="宋体" w:hAnsi="Times New Roman" w:cs="Times New Roman"/>
          <w:color w:val="000000"/>
          <w:kern w:val="0"/>
          <w:sz w:val="24"/>
          <w:lang w:bidi="ar"/>
        </w:rPr>
        <w:t>自备或与厂家联系购置</w:t>
      </w:r>
      <w:r>
        <w:rPr>
          <w:rFonts w:ascii="Times New Roman" w:eastAsia="宋体" w:hAnsi="Times New Roman" w:cs="Times New Roman"/>
          <w:color w:val="000000"/>
          <w:kern w:val="0"/>
          <w:sz w:val="24"/>
          <w:lang w:bidi="ar"/>
        </w:rPr>
        <w:t>ROX Reference Dye</w:t>
      </w:r>
      <w:r>
        <w:rPr>
          <w:rFonts w:ascii="Times New Roman" w:eastAsia="宋体" w:hAnsi="Times New Roman" w:cs="Times New Roman"/>
          <w:color w:val="000000"/>
          <w:kern w:val="0"/>
          <w:sz w:val="24"/>
          <w:lang w:bidi="ar"/>
        </w:rPr>
        <w:t>，用以校正部分公司</w:t>
      </w:r>
      <w:r>
        <w:rPr>
          <w:rFonts w:ascii="Times New Roman" w:eastAsia="宋体" w:hAnsi="Times New Roman" w:cs="Times New Roman"/>
          <w:color w:val="000000"/>
          <w:kern w:val="0"/>
          <w:sz w:val="24"/>
          <w:lang w:bidi="ar"/>
        </w:rPr>
        <w:t>Real Time PCR</w:t>
      </w:r>
      <w:r>
        <w:rPr>
          <w:rFonts w:ascii="Times New Roman" w:eastAsia="宋体" w:hAnsi="Times New Roman" w:cs="Times New Roman"/>
          <w:color w:val="000000"/>
          <w:kern w:val="0"/>
          <w:sz w:val="24"/>
          <w:lang w:bidi="ar"/>
        </w:rPr>
        <w:t>扩增仪的孔间荧光信号误差。</w:t>
      </w:r>
      <w:r>
        <w:rPr>
          <w:rFonts w:ascii="Times New Roman" w:eastAsia="宋体" w:hAnsi="Times New Roman" w:cs="Times New Roman"/>
          <w:color w:val="000000"/>
          <w:kern w:val="0"/>
          <w:sz w:val="24"/>
          <w:lang w:bidi="ar"/>
        </w:rPr>
        <w:t>ROX Reference Dye I</w:t>
      </w:r>
      <w:r>
        <w:rPr>
          <w:rFonts w:ascii="Times New Roman" w:eastAsia="宋体" w:hAnsi="Times New Roman" w:cs="Times New Roman"/>
          <w:color w:val="000000"/>
          <w:kern w:val="0"/>
          <w:sz w:val="24"/>
          <w:lang w:bidi="ar"/>
        </w:rPr>
        <w:t>适用于</w:t>
      </w:r>
      <w:r>
        <w:rPr>
          <w:rFonts w:ascii="Times New Roman" w:eastAsia="宋体" w:hAnsi="Times New Roman" w:cs="Times New Roman"/>
          <w:color w:val="000000"/>
          <w:kern w:val="0"/>
          <w:sz w:val="24"/>
          <w:lang w:bidi="ar"/>
        </w:rPr>
        <w:t>ABI PRISM 7000/7700/7300/7900HT</w:t>
      </w:r>
      <w:r>
        <w:rPr>
          <w:rFonts w:ascii="Times New Roman" w:eastAsia="宋体" w:hAnsi="Times New Roman" w:cs="Times New Roman"/>
          <w:color w:val="000000"/>
          <w:kern w:val="0"/>
          <w:sz w:val="24"/>
          <w:lang w:bidi="ar"/>
        </w:rPr>
        <w:t>及</w:t>
      </w:r>
      <w:r>
        <w:rPr>
          <w:rFonts w:ascii="Times New Roman" w:eastAsia="宋体" w:hAnsi="Times New Roman" w:cs="Times New Roman"/>
          <w:color w:val="000000"/>
          <w:kern w:val="0"/>
          <w:sz w:val="24"/>
          <w:lang w:bidi="ar"/>
        </w:rPr>
        <w:t>Step One Plus Real-Time PCR System</w:t>
      </w:r>
      <w:r>
        <w:rPr>
          <w:rFonts w:ascii="Times New Roman" w:eastAsia="宋体" w:hAnsi="Times New Roman" w:cs="Times New Roman"/>
          <w:color w:val="000000"/>
          <w:kern w:val="0"/>
          <w:sz w:val="24"/>
          <w:lang w:bidi="ar"/>
        </w:rPr>
        <w:t>等；</w:t>
      </w:r>
      <w:r>
        <w:rPr>
          <w:rFonts w:ascii="Times New Roman" w:eastAsia="宋体" w:hAnsi="Times New Roman" w:cs="Times New Roman"/>
          <w:color w:val="000000"/>
          <w:kern w:val="0"/>
          <w:sz w:val="24"/>
          <w:lang w:bidi="ar"/>
        </w:rPr>
        <w:t>ROX Reference Dye II</w:t>
      </w:r>
      <w:r>
        <w:rPr>
          <w:rFonts w:ascii="Times New Roman" w:eastAsia="宋体" w:hAnsi="Times New Roman" w:cs="Times New Roman"/>
          <w:color w:val="000000"/>
          <w:kern w:val="0"/>
          <w:sz w:val="24"/>
          <w:lang w:bidi="ar"/>
        </w:rPr>
        <w:t>适用于</w:t>
      </w:r>
      <w:r>
        <w:rPr>
          <w:rFonts w:ascii="Times New Roman" w:eastAsia="宋体" w:hAnsi="Times New Roman" w:cs="Times New Roman"/>
          <w:color w:val="000000"/>
          <w:kern w:val="0"/>
          <w:sz w:val="24"/>
          <w:lang w:bidi="ar"/>
        </w:rPr>
        <w:t>7500 Real-Time PCR System</w:t>
      </w:r>
      <w:r>
        <w:rPr>
          <w:rFonts w:ascii="Times New Roman" w:eastAsia="宋体" w:hAnsi="Times New Roman" w:cs="Times New Roman"/>
          <w:color w:val="000000"/>
          <w:kern w:val="0"/>
          <w:sz w:val="24"/>
          <w:lang w:bidi="ar"/>
        </w:rPr>
        <w:t>、</w:t>
      </w:r>
      <w:r>
        <w:rPr>
          <w:rFonts w:ascii="Times New Roman" w:eastAsia="宋体" w:hAnsi="Times New Roman" w:cs="Times New Roman"/>
          <w:color w:val="000000"/>
          <w:kern w:val="0"/>
          <w:sz w:val="24"/>
          <w:lang w:bidi="ar"/>
        </w:rPr>
        <w:t>7500 Fast Real -Time PCR System</w:t>
      </w:r>
      <w:r>
        <w:rPr>
          <w:rFonts w:ascii="Times New Roman" w:eastAsia="宋体" w:hAnsi="Times New Roman" w:cs="Times New Roman"/>
          <w:color w:val="000000"/>
          <w:kern w:val="0"/>
          <w:sz w:val="24"/>
          <w:lang w:bidi="ar"/>
        </w:rPr>
        <w:t>、</w:t>
      </w:r>
      <w:proofErr w:type="spellStart"/>
      <w:r>
        <w:rPr>
          <w:rFonts w:ascii="Times New Roman" w:eastAsia="宋体" w:hAnsi="Times New Roman" w:cs="Times New Roman"/>
          <w:color w:val="000000"/>
          <w:kern w:val="0"/>
          <w:sz w:val="24"/>
          <w:lang w:bidi="ar"/>
        </w:rPr>
        <w:t>Stratagene</w:t>
      </w:r>
      <w:proofErr w:type="spellEnd"/>
      <w:r>
        <w:rPr>
          <w:rFonts w:ascii="Times New Roman" w:eastAsia="宋体" w:hAnsi="Times New Roman" w:cs="Times New Roman"/>
          <w:color w:val="000000"/>
          <w:kern w:val="0"/>
          <w:sz w:val="24"/>
          <w:lang w:bidi="ar"/>
        </w:rPr>
        <w:t xml:space="preserve"> Mx3000P</w:t>
      </w:r>
      <w:r>
        <w:rPr>
          <w:rFonts w:ascii="Times New Roman" w:eastAsia="宋体" w:hAnsi="Times New Roman" w:cs="Times New Roman"/>
          <w:color w:val="000000"/>
          <w:kern w:val="0"/>
          <w:sz w:val="24"/>
          <w:lang w:bidi="ar"/>
        </w:rPr>
        <w:t>、</w:t>
      </w:r>
      <w:r>
        <w:rPr>
          <w:rFonts w:ascii="Times New Roman" w:eastAsia="宋体" w:hAnsi="Times New Roman" w:cs="Times New Roman"/>
          <w:color w:val="000000"/>
          <w:kern w:val="0"/>
          <w:sz w:val="24"/>
          <w:lang w:bidi="ar"/>
        </w:rPr>
        <w:t>Mx30</w:t>
      </w:r>
      <w:r>
        <w:rPr>
          <w:rFonts w:ascii="Times New Roman" w:eastAsia="宋体" w:hAnsi="Times New Roman" w:cs="Times New Roman"/>
          <w:color w:val="000000"/>
          <w:kern w:val="0"/>
          <w:sz w:val="24"/>
          <w:lang w:bidi="ar"/>
        </w:rPr>
        <w:t>05P</w:t>
      </w:r>
      <w:r>
        <w:rPr>
          <w:rFonts w:ascii="Times New Roman" w:eastAsia="宋体" w:hAnsi="Times New Roman" w:cs="Times New Roman"/>
          <w:color w:val="000000"/>
          <w:kern w:val="0"/>
          <w:sz w:val="24"/>
          <w:lang w:bidi="ar"/>
        </w:rPr>
        <w:t>及</w:t>
      </w:r>
      <w:r>
        <w:rPr>
          <w:rFonts w:ascii="Times New Roman" w:eastAsia="宋体" w:hAnsi="Times New Roman" w:cs="Times New Roman"/>
          <w:color w:val="000000"/>
          <w:kern w:val="0"/>
          <w:sz w:val="24"/>
          <w:lang w:bidi="ar"/>
        </w:rPr>
        <w:t>Mx4000</w:t>
      </w:r>
      <w:r>
        <w:rPr>
          <w:rFonts w:ascii="Times New Roman" w:eastAsia="宋体" w:hAnsi="Times New Roman" w:cs="Times New Roman"/>
          <w:color w:val="000000"/>
          <w:kern w:val="0"/>
          <w:sz w:val="24"/>
          <w:lang w:bidi="ar"/>
        </w:rPr>
        <w:t>等；</w:t>
      </w:r>
      <w:r>
        <w:rPr>
          <w:rFonts w:ascii="Times New Roman" w:eastAsia="宋体" w:hAnsi="Times New Roman" w:cs="Times New Roman"/>
          <w:color w:val="000000"/>
          <w:kern w:val="0"/>
          <w:sz w:val="24"/>
          <w:lang w:bidi="ar"/>
        </w:rPr>
        <w:t>ROX Reference Dye I</w:t>
      </w:r>
      <w:r>
        <w:rPr>
          <w:rFonts w:ascii="Times New Roman" w:eastAsia="宋体" w:hAnsi="Times New Roman" w:cs="Times New Roman"/>
          <w:color w:val="000000"/>
          <w:kern w:val="0"/>
          <w:sz w:val="24"/>
          <w:lang w:bidi="ar"/>
        </w:rPr>
        <w:t>、</w:t>
      </w:r>
      <w:r>
        <w:rPr>
          <w:rFonts w:ascii="Times New Roman" w:eastAsia="宋体" w:hAnsi="Times New Roman" w:cs="Times New Roman"/>
          <w:color w:val="000000"/>
          <w:kern w:val="0"/>
          <w:sz w:val="24"/>
          <w:lang w:bidi="ar"/>
        </w:rPr>
        <w:t>II</w:t>
      </w:r>
      <w:r>
        <w:rPr>
          <w:rFonts w:ascii="Times New Roman" w:eastAsia="宋体" w:hAnsi="Times New Roman" w:cs="Times New Roman"/>
          <w:color w:val="000000"/>
          <w:kern w:val="0"/>
          <w:sz w:val="24"/>
          <w:lang w:bidi="ar"/>
        </w:rPr>
        <w:t>反应终浓度均为</w:t>
      </w:r>
      <w:r>
        <w:rPr>
          <w:rFonts w:ascii="Times New Roman" w:eastAsia="宋体" w:hAnsi="Times New Roman" w:cs="Times New Roman"/>
          <w:color w:val="000000"/>
          <w:kern w:val="0"/>
          <w:sz w:val="24"/>
          <w:lang w:bidi="ar"/>
        </w:rPr>
        <w:t>1×</w:t>
      </w:r>
      <w:r>
        <w:rPr>
          <w:rFonts w:ascii="Times New Roman" w:eastAsia="宋体" w:hAnsi="Times New Roman" w:cs="Times New Roman"/>
          <w:color w:val="000000"/>
          <w:kern w:val="0"/>
          <w:sz w:val="24"/>
          <w:lang w:bidi="ar"/>
        </w:rPr>
        <w:t>。</w:t>
      </w:r>
      <w:proofErr w:type="spellStart"/>
      <w:r>
        <w:rPr>
          <w:rFonts w:ascii="Times New Roman" w:eastAsia="宋体" w:hAnsi="Times New Roman" w:cs="Times New Roman"/>
          <w:color w:val="000000"/>
          <w:kern w:val="0"/>
          <w:sz w:val="24"/>
          <w:lang w:bidi="ar"/>
        </w:rPr>
        <w:t>LightCycler</w:t>
      </w:r>
      <w:proofErr w:type="spellEnd"/>
      <w:r>
        <w:rPr>
          <w:rFonts w:ascii="Times New Roman" w:eastAsia="宋体" w:hAnsi="Times New Roman" w:cs="Times New Roman"/>
          <w:color w:val="000000"/>
          <w:kern w:val="0"/>
          <w:sz w:val="24"/>
          <w:lang w:bidi="ar"/>
        </w:rPr>
        <w:t>、</w:t>
      </w:r>
      <w:r>
        <w:rPr>
          <w:rFonts w:ascii="Times New Roman" w:eastAsia="宋体" w:hAnsi="Times New Roman" w:cs="Times New Roman"/>
          <w:color w:val="000000"/>
          <w:kern w:val="0"/>
          <w:sz w:val="24"/>
          <w:lang w:bidi="ar"/>
        </w:rPr>
        <w:t>Thermal Cycler Dice Real Time System II</w:t>
      </w:r>
      <w:r>
        <w:rPr>
          <w:rFonts w:ascii="Times New Roman" w:eastAsia="宋体" w:hAnsi="Times New Roman" w:cs="Times New Roman"/>
          <w:color w:val="000000"/>
          <w:kern w:val="0"/>
          <w:sz w:val="24"/>
          <w:lang w:bidi="ar"/>
        </w:rPr>
        <w:t>、</w:t>
      </w:r>
      <w:r>
        <w:rPr>
          <w:rFonts w:ascii="Times New Roman" w:eastAsia="宋体" w:hAnsi="Times New Roman" w:cs="Times New Roman"/>
          <w:color w:val="000000"/>
          <w:kern w:val="0"/>
          <w:sz w:val="24"/>
          <w:lang w:bidi="ar"/>
        </w:rPr>
        <w:t>Smart Cycler System</w:t>
      </w:r>
      <w:r>
        <w:rPr>
          <w:rFonts w:ascii="Times New Roman" w:eastAsia="宋体" w:hAnsi="Times New Roman" w:cs="Times New Roman"/>
          <w:color w:val="000000"/>
          <w:kern w:val="0"/>
          <w:sz w:val="24"/>
          <w:lang w:bidi="ar"/>
        </w:rPr>
        <w:t>等实时荧光定量</w:t>
      </w:r>
      <w:r>
        <w:rPr>
          <w:rFonts w:ascii="Times New Roman" w:eastAsia="宋体" w:hAnsi="Times New Roman" w:cs="Times New Roman"/>
          <w:color w:val="000000"/>
          <w:kern w:val="0"/>
          <w:sz w:val="24"/>
          <w:lang w:bidi="ar"/>
        </w:rPr>
        <w:t>PCR</w:t>
      </w:r>
      <w:r>
        <w:rPr>
          <w:rFonts w:ascii="Times New Roman" w:eastAsia="宋体" w:hAnsi="Times New Roman" w:cs="Times New Roman"/>
          <w:color w:val="000000"/>
          <w:kern w:val="0"/>
          <w:sz w:val="24"/>
          <w:lang w:bidi="ar"/>
        </w:rPr>
        <w:t>扩增仪不需使用。</w:t>
      </w:r>
    </w:p>
    <w:p w:rsidR="001A279C" w:rsidRDefault="00BC4357">
      <w:pPr>
        <w:widowControl/>
        <w:spacing w:beforeLines="50" w:before="156" w:line="460" w:lineRule="exact"/>
        <w:rPr>
          <w:rFonts w:ascii="Times New Roman" w:hAnsi="Times New Roman" w:cs="Times New Roman"/>
          <w:b/>
          <w:sz w:val="28"/>
          <w:szCs w:val="28"/>
        </w:rPr>
      </w:pPr>
      <w:r>
        <w:rPr>
          <w:rFonts w:ascii="Times New Roman" w:hAnsi="Times New Roman" w:cs="Times New Roman"/>
          <w:b/>
          <w:sz w:val="28"/>
          <w:szCs w:val="28"/>
        </w:rPr>
        <w:t>储存条件：</w:t>
      </w:r>
    </w:p>
    <w:p w:rsidR="001A279C" w:rsidRDefault="00BC4357">
      <w:pPr>
        <w:spacing w:line="460" w:lineRule="exact"/>
        <w:ind w:firstLineChars="200" w:firstLine="480"/>
        <w:rPr>
          <w:rFonts w:ascii="Times New Roman" w:eastAsia="宋体" w:hAnsi="Times New Roman" w:cs="Times New Roman"/>
          <w:color w:val="000000"/>
          <w:kern w:val="0"/>
          <w:sz w:val="24"/>
          <w:lang w:bidi="ar"/>
        </w:rPr>
      </w:pPr>
      <w:r>
        <w:rPr>
          <w:rFonts w:ascii="Times New Roman" w:eastAsia="宋体" w:hAnsi="Times New Roman" w:cs="Times New Roman"/>
          <w:color w:val="000000"/>
          <w:kern w:val="0"/>
          <w:sz w:val="24"/>
          <w:lang w:bidi="ar"/>
        </w:rPr>
        <w:t>-20℃</w:t>
      </w:r>
      <w:r>
        <w:rPr>
          <w:rFonts w:ascii="Times New Roman" w:eastAsia="宋体" w:hAnsi="Times New Roman" w:cs="Times New Roman"/>
          <w:color w:val="000000"/>
          <w:kern w:val="0"/>
          <w:sz w:val="24"/>
          <w:lang w:bidi="ar"/>
        </w:rPr>
        <w:t>条件下保存，有效期至少</w:t>
      </w:r>
      <w:r>
        <w:rPr>
          <w:rFonts w:ascii="Times New Roman" w:eastAsia="宋体" w:hAnsi="Times New Roman" w:cs="Times New Roman"/>
          <w:color w:val="000000"/>
          <w:kern w:val="0"/>
          <w:sz w:val="24"/>
          <w:lang w:bidi="ar"/>
        </w:rPr>
        <w:t>12</w:t>
      </w:r>
      <w:r>
        <w:rPr>
          <w:rFonts w:ascii="Times New Roman" w:eastAsia="宋体" w:hAnsi="Times New Roman" w:cs="Times New Roman"/>
          <w:color w:val="000000"/>
          <w:kern w:val="0"/>
          <w:sz w:val="24"/>
          <w:lang w:bidi="ar"/>
        </w:rPr>
        <w:t>个月。</w:t>
      </w:r>
    </w:p>
    <w:p w:rsidR="001A279C" w:rsidRDefault="00BC4357">
      <w:pPr>
        <w:widowControl/>
        <w:spacing w:beforeLines="50" w:before="156" w:line="460" w:lineRule="exact"/>
        <w:rPr>
          <w:rFonts w:ascii="Times New Roman" w:hAnsi="Times New Roman" w:cs="Times New Roman"/>
          <w:b/>
          <w:sz w:val="28"/>
          <w:szCs w:val="28"/>
        </w:rPr>
      </w:pPr>
      <w:r>
        <w:rPr>
          <w:rFonts w:ascii="Times New Roman" w:hAnsi="Times New Roman" w:cs="Times New Roman"/>
          <w:b/>
          <w:sz w:val="28"/>
          <w:szCs w:val="28"/>
        </w:rPr>
        <w:t>活性定义：</w:t>
      </w:r>
    </w:p>
    <w:p w:rsidR="001A279C" w:rsidRDefault="00BC4357">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用活性化的大马哈鱼精子</w:t>
      </w:r>
      <w:r>
        <w:rPr>
          <w:rFonts w:ascii="Times New Roman" w:eastAsia="宋体" w:hAnsi="Times New Roman" w:cs="Times New Roman"/>
          <w:sz w:val="24"/>
        </w:rPr>
        <w:t>DNA</w:t>
      </w:r>
      <w:r>
        <w:rPr>
          <w:rFonts w:ascii="Times New Roman" w:eastAsia="宋体" w:hAnsi="Times New Roman" w:cs="Times New Roman"/>
          <w:sz w:val="24"/>
        </w:rPr>
        <w:t>作为模板</w:t>
      </w:r>
      <w:r>
        <w:rPr>
          <w:rFonts w:ascii="Times New Roman" w:eastAsia="宋体" w:hAnsi="Times New Roman" w:cs="Times New Roman"/>
          <w:sz w:val="24"/>
        </w:rPr>
        <w:t>/</w:t>
      </w:r>
      <w:r>
        <w:rPr>
          <w:rFonts w:ascii="Times New Roman" w:eastAsia="宋体" w:hAnsi="Times New Roman" w:cs="Times New Roman"/>
          <w:sz w:val="24"/>
        </w:rPr>
        <w:t>引物，在</w:t>
      </w:r>
      <w:r>
        <w:rPr>
          <w:rFonts w:ascii="Times New Roman" w:eastAsia="宋体" w:hAnsi="Times New Roman" w:cs="Times New Roman"/>
          <w:sz w:val="24"/>
        </w:rPr>
        <w:t>74℃</w:t>
      </w:r>
      <w:r>
        <w:rPr>
          <w:rFonts w:ascii="Times New Roman" w:eastAsia="宋体" w:hAnsi="Times New Roman" w:cs="Times New Roman"/>
          <w:sz w:val="24"/>
        </w:rPr>
        <w:t>，</w:t>
      </w:r>
      <w:r>
        <w:rPr>
          <w:rFonts w:ascii="Times New Roman" w:eastAsia="宋体" w:hAnsi="Times New Roman" w:cs="Times New Roman"/>
          <w:sz w:val="24"/>
        </w:rPr>
        <w:t>30</w:t>
      </w:r>
      <w:r>
        <w:rPr>
          <w:rFonts w:ascii="Times New Roman" w:eastAsia="宋体" w:hAnsi="Times New Roman" w:cs="Times New Roman"/>
          <w:sz w:val="24"/>
        </w:rPr>
        <w:t>分钟内，摄入</w:t>
      </w:r>
      <w:r>
        <w:rPr>
          <w:rFonts w:ascii="Times New Roman" w:eastAsia="宋体" w:hAnsi="Times New Roman" w:cs="Times New Roman"/>
          <w:sz w:val="24"/>
        </w:rPr>
        <w:t>10nmol</w:t>
      </w:r>
      <w:r>
        <w:rPr>
          <w:rFonts w:ascii="Times New Roman" w:eastAsia="宋体" w:hAnsi="Times New Roman" w:cs="Times New Roman"/>
          <w:sz w:val="24"/>
        </w:rPr>
        <w:t>的全核苷酸为酸性不溶物的活性定义为</w:t>
      </w:r>
      <w:r>
        <w:rPr>
          <w:rFonts w:ascii="Times New Roman" w:eastAsia="宋体" w:hAnsi="Times New Roman" w:cs="Times New Roman"/>
          <w:sz w:val="24"/>
        </w:rPr>
        <w:t>1</w:t>
      </w:r>
      <w:r>
        <w:rPr>
          <w:rFonts w:ascii="Times New Roman" w:eastAsia="宋体" w:hAnsi="Times New Roman" w:cs="Times New Roman"/>
          <w:sz w:val="24"/>
        </w:rPr>
        <w:t>个活性单位（</w:t>
      </w:r>
      <w:r>
        <w:rPr>
          <w:rFonts w:ascii="Times New Roman" w:eastAsia="宋体" w:hAnsi="Times New Roman" w:cs="Times New Roman"/>
          <w:sz w:val="24"/>
        </w:rPr>
        <w:t>U</w:t>
      </w:r>
      <w:r>
        <w:rPr>
          <w:rFonts w:ascii="Times New Roman" w:eastAsia="宋体" w:hAnsi="Times New Roman" w:cs="Times New Roman"/>
          <w:sz w:val="24"/>
        </w:rPr>
        <w:t>）。</w:t>
      </w:r>
    </w:p>
    <w:p w:rsidR="001A279C" w:rsidRDefault="00BC4357">
      <w:pPr>
        <w:widowControl/>
        <w:spacing w:beforeLines="50" w:before="156" w:line="460" w:lineRule="exact"/>
        <w:rPr>
          <w:rFonts w:ascii="Times New Roman" w:hAnsi="Times New Roman" w:cs="Times New Roman"/>
          <w:b/>
          <w:sz w:val="28"/>
          <w:szCs w:val="28"/>
        </w:rPr>
      </w:pPr>
      <w:r>
        <w:rPr>
          <w:rFonts w:ascii="Times New Roman" w:hAnsi="Times New Roman" w:cs="Times New Roman"/>
          <w:b/>
          <w:sz w:val="28"/>
          <w:szCs w:val="28"/>
        </w:rPr>
        <w:t>质量控制：</w:t>
      </w:r>
      <w:r>
        <w:rPr>
          <w:rFonts w:ascii="Times New Roman" w:hAnsi="Times New Roman" w:cs="Times New Roman"/>
          <w:b/>
          <w:sz w:val="28"/>
          <w:szCs w:val="28"/>
        </w:rPr>
        <w:t xml:space="preserve"> </w:t>
      </w:r>
    </w:p>
    <w:p w:rsidR="001A279C" w:rsidRDefault="00BC4357">
      <w:pPr>
        <w:widowControl/>
        <w:spacing w:line="360" w:lineRule="auto"/>
        <w:ind w:firstLineChars="200" w:firstLine="480"/>
        <w:jc w:val="left"/>
        <w:rPr>
          <w:rFonts w:ascii="Times New Roman" w:eastAsia="宋体" w:hAnsi="Times New Roman" w:cs="Times New Roman"/>
          <w:sz w:val="24"/>
        </w:rPr>
      </w:pPr>
      <w:r>
        <w:rPr>
          <w:rFonts w:ascii="Times New Roman" w:eastAsia="宋体" w:hAnsi="Times New Roman" w:cs="Times New Roman"/>
          <w:color w:val="000000"/>
          <w:kern w:val="0"/>
          <w:sz w:val="24"/>
          <w:lang w:bidi="ar"/>
        </w:rPr>
        <w:t>本产品经质量检测，不含脱氧核糖核酸内切酶活性、脱氧核糖核酸外切酶活性和核糖核酸酶污染。宿主基因组残留低于</w:t>
      </w:r>
      <w:r>
        <w:rPr>
          <w:rFonts w:ascii="Times New Roman" w:eastAsia="宋体" w:hAnsi="Times New Roman" w:cs="Times New Roman"/>
          <w:color w:val="000000"/>
          <w:kern w:val="0"/>
          <w:sz w:val="24"/>
          <w:lang w:bidi="ar"/>
        </w:rPr>
        <w:t>10</w:t>
      </w:r>
      <w:r>
        <w:rPr>
          <w:rFonts w:ascii="Times New Roman" w:eastAsia="宋体" w:hAnsi="Times New Roman" w:cs="Times New Roman"/>
          <w:color w:val="000000"/>
          <w:kern w:val="0"/>
          <w:sz w:val="24"/>
          <w:lang w:bidi="ar"/>
        </w:rPr>
        <w:t>拷贝。</w:t>
      </w:r>
      <w:r>
        <w:rPr>
          <w:rFonts w:ascii="Times New Roman" w:eastAsia="宋体" w:hAnsi="Times New Roman" w:cs="Times New Roman"/>
          <w:sz w:val="24"/>
        </w:rPr>
        <w:t xml:space="preserve"> </w:t>
      </w:r>
    </w:p>
    <w:p w:rsidR="001A279C" w:rsidRDefault="00BC4357">
      <w:pPr>
        <w:widowControl/>
        <w:spacing w:beforeLines="50" w:before="156" w:line="460" w:lineRule="exact"/>
        <w:rPr>
          <w:rFonts w:ascii="Times New Roman" w:hAnsi="Times New Roman" w:cs="Times New Roman"/>
          <w:b/>
          <w:sz w:val="28"/>
          <w:szCs w:val="28"/>
        </w:rPr>
      </w:pPr>
      <w:r>
        <w:rPr>
          <w:rFonts w:ascii="Times New Roman" w:hAnsi="Times New Roman" w:cs="Times New Roman"/>
          <w:b/>
          <w:sz w:val="28"/>
          <w:szCs w:val="28"/>
        </w:rPr>
        <w:t>产品用途：</w:t>
      </w:r>
    </w:p>
    <w:p w:rsidR="001A279C" w:rsidRDefault="00BC4357">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实时荧光定量</w:t>
      </w:r>
      <w:r>
        <w:rPr>
          <w:rFonts w:ascii="Times New Roman" w:eastAsia="宋体" w:hAnsi="Times New Roman" w:cs="Times New Roman"/>
          <w:sz w:val="24"/>
        </w:rPr>
        <w:t>qPCR</w:t>
      </w:r>
      <w:r>
        <w:rPr>
          <w:rFonts w:ascii="Times New Roman" w:eastAsia="宋体" w:hAnsi="Times New Roman" w:cs="Times New Roman"/>
          <w:sz w:val="24"/>
        </w:rPr>
        <w:t>（染料法）扩增</w:t>
      </w:r>
      <w:r>
        <w:rPr>
          <w:rFonts w:ascii="Times New Roman" w:eastAsia="宋体" w:hAnsi="Times New Roman" w:cs="Times New Roman"/>
          <w:sz w:val="24"/>
        </w:rPr>
        <w:t>DNA</w:t>
      </w:r>
      <w:r>
        <w:rPr>
          <w:rFonts w:ascii="Times New Roman" w:eastAsia="宋体" w:hAnsi="Times New Roman" w:cs="Times New Roman"/>
          <w:sz w:val="24"/>
        </w:rPr>
        <w:t>或</w:t>
      </w:r>
      <w:r>
        <w:rPr>
          <w:rFonts w:ascii="Times New Roman" w:eastAsia="宋体" w:hAnsi="Times New Roman" w:cs="Times New Roman"/>
          <w:sz w:val="24"/>
        </w:rPr>
        <w:t>cDNA</w:t>
      </w:r>
      <w:r>
        <w:rPr>
          <w:rFonts w:ascii="Times New Roman" w:eastAsia="宋体" w:hAnsi="Times New Roman" w:cs="Times New Roman"/>
          <w:sz w:val="24"/>
        </w:rPr>
        <w:t>；绝对定量</w:t>
      </w:r>
      <w:r>
        <w:rPr>
          <w:rFonts w:ascii="Times New Roman" w:eastAsia="宋体" w:hAnsi="Times New Roman" w:cs="Times New Roman"/>
          <w:sz w:val="24"/>
        </w:rPr>
        <w:t>qPCR</w:t>
      </w:r>
      <w:r>
        <w:rPr>
          <w:rFonts w:ascii="Times New Roman" w:eastAsia="宋体" w:hAnsi="Times New Roman" w:cs="Times New Roman"/>
          <w:sz w:val="24"/>
        </w:rPr>
        <w:t>；相对定量</w:t>
      </w:r>
      <w:r>
        <w:rPr>
          <w:rFonts w:ascii="Times New Roman" w:eastAsia="宋体" w:hAnsi="Times New Roman" w:cs="Times New Roman"/>
          <w:sz w:val="24"/>
        </w:rPr>
        <w:t>qPCR</w:t>
      </w:r>
      <w:r>
        <w:rPr>
          <w:rFonts w:ascii="Times New Roman" w:eastAsia="宋体" w:hAnsi="Times New Roman" w:cs="Times New Roman"/>
          <w:sz w:val="24"/>
        </w:rPr>
        <w:t>。</w:t>
      </w:r>
      <w:r>
        <w:rPr>
          <w:rFonts w:ascii="Times New Roman" w:eastAsia="宋体" w:hAnsi="Times New Roman" w:cs="Times New Roman"/>
          <w:sz w:val="24"/>
        </w:rPr>
        <w:t xml:space="preserve"> </w:t>
      </w:r>
    </w:p>
    <w:p w:rsidR="001A279C" w:rsidRDefault="00BC4357">
      <w:pPr>
        <w:widowControl/>
        <w:spacing w:beforeLines="50" w:before="156" w:line="360" w:lineRule="exact"/>
        <w:rPr>
          <w:rFonts w:ascii="Times New Roman" w:hAnsi="Times New Roman" w:cs="Times New Roman"/>
          <w:b/>
          <w:sz w:val="28"/>
          <w:szCs w:val="28"/>
        </w:rPr>
      </w:pPr>
      <w:r>
        <w:rPr>
          <w:rFonts w:ascii="Times New Roman" w:hAnsi="Times New Roman" w:cs="Times New Roman"/>
          <w:b/>
          <w:sz w:val="28"/>
          <w:szCs w:val="28"/>
        </w:rPr>
        <w:lastRenderedPageBreak/>
        <w:t>操作方法：</w:t>
      </w:r>
    </w:p>
    <w:p w:rsidR="001A279C" w:rsidRDefault="00BC4357">
      <w:pPr>
        <w:widowControl/>
        <w:numPr>
          <w:ilvl w:val="0"/>
          <w:numId w:val="1"/>
        </w:numPr>
        <w:autoSpaceDE w:val="0"/>
        <w:spacing w:line="360" w:lineRule="exact"/>
        <w:ind w:firstLineChars="200" w:firstLine="480"/>
        <w:rPr>
          <w:rFonts w:ascii="Times New Roman" w:eastAsia="宋体" w:hAnsi="Times New Roman" w:cs="Times New Roman"/>
          <w:sz w:val="24"/>
        </w:rPr>
      </w:pPr>
      <w:r>
        <w:rPr>
          <w:rFonts w:ascii="Times New Roman" w:eastAsia="宋体" w:hAnsi="Times New Roman" w:cs="Times New Roman"/>
          <w:color w:val="000000"/>
          <w:kern w:val="0"/>
          <w:sz w:val="24"/>
          <w:lang w:bidi="ar"/>
        </w:rPr>
        <w:t>将实验所需试剂室温</w:t>
      </w:r>
      <w:proofErr w:type="gramStart"/>
      <w:r>
        <w:rPr>
          <w:rFonts w:ascii="Times New Roman" w:eastAsia="宋体" w:hAnsi="Times New Roman" w:cs="Times New Roman"/>
          <w:color w:val="000000"/>
          <w:kern w:val="0"/>
          <w:sz w:val="24"/>
          <w:lang w:bidi="ar"/>
        </w:rPr>
        <w:t>平衡至</w:t>
      </w:r>
      <w:proofErr w:type="gramEnd"/>
      <w:r>
        <w:rPr>
          <w:rFonts w:ascii="Times New Roman" w:eastAsia="宋体" w:hAnsi="Times New Roman" w:cs="Times New Roman"/>
          <w:color w:val="000000"/>
          <w:kern w:val="0"/>
          <w:sz w:val="24"/>
          <w:lang w:bidi="ar"/>
        </w:rPr>
        <w:t>完全溶解，</w:t>
      </w:r>
      <w:r>
        <w:rPr>
          <w:rFonts w:ascii="Times New Roman" w:eastAsia="宋体" w:hAnsi="Times New Roman" w:cs="Times New Roman"/>
          <w:kern w:val="0"/>
          <w:sz w:val="24"/>
          <w:lang w:bidi="ar"/>
        </w:rPr>
        <w:t>充分温和混匀（请勿涡旋振荡），瞬时离心后使用，避免产生大量气泡，避免反复多次冻融，若经常</w:t>
      </w:r>
      <w:proofErr w:type="gramStart"/>
      <w:r>
        <w:rPr>
          <w:rFonts w:ascii="Times New Roman" w:eastAsia="宋体" w:hAnsi="Times New Roman" w:cs="Times New Roman"/>
          <w:kern w:val="0"/>
          <w:sz w:val="24"/>
          <w:lang w:bidi="ar"/>
        </w:rPr>
        <w:t>使用请</w:t>
      </w:r>
      <w:proofErr w:type="gramEnd"/>
      <w:r>
        <w:rPr>
          <w:rFonts w:ascii="Times New Roman" w:eastAsia="宋体" w:hAnsi="Times New Roman" w:cs="Times New Roman"/>
          <w:kern w:val="0"/>
          <w:sz w:val="24"/>
          <w:lang w:bidi="ar"/>
        </w:rPr>
        <w:t>保存在</w:t>
      </w:r>
      <w:r>
        <w:rPr>
          <w:rFonts w:ascii="Times New Roman" w:eastAsia="宋体" w:hAnsi="Times New Roman" w:cs="Times New Roman"/>
          <w:kern w:val="0"/>
          <w:sz w:val="24"/>
          <w:lang w:bidi="ar"/>
        </w:rPr>
        <w:t>4℃</w:t>
      </w:r>
      <w:r>
        <w:rPr>
          <w:rFonts w:ascii="Times New Roman" w:eastAsia="宋体" w:hAnsi="Times New Roman" w:cs="Times New Roman"/>
          <w:kern w:val="0"/>
          <w:sz w:val="24"/>
          <w:lang w:bidi="ar"/>
        </w:rPr>
        <w:t>。按下</w:t>
      </w:r>
      <w:r>
        <w:rPr>
          <w:rFonts w:ascii="Times New Roman" w:eastAsia="宋体" w:hAnsi="Times New Roman" w:cs="Times New Roman" w:hint="eastAsia"/>
          <w:kern w:val="0"/>
          <w:sz w:val="24"/>
          <w:lang w:bidi="ar"/>
        </w:rPr>
        <w:t>组分制</w:t>
      </w:r>
      <w:proofErr w:type="gramStart"/>
      <w:r>
        <w:rPr>
          <w:rFonts w:ascii="Times New Roman" w:eastAsia="宋体" w:hAnsi="Times New Roman" w:cs="Times New Roman"/>
          <w:kern w:val="0"/>
          <w:sz w:val="24"/>
          <w:lang w:bidi="ar"/>
        </w:rPr>
        <w:t>制</w:t>
      </w:r>
      <w:proofErr w:type="gramEnd"/>
      <w:r>
        <w:rPr>
          <w:rFonts w:ascii="Times New Roman" w:eastAsia="宋体" w:hAnsi="Times New Roman" w:cs="Times New Roman"/>
          <w:kern w:val="0"/>
          <w:sz w:val="24"/>
          <w:lang w:bidi="ar"/>
        </w:rPr>
        <w:t>PCR</w:t>
      </w:r>
      <w:r>
        <w:rPr>
          <w:rFonts w:ascii="Times New Roman" w:eastAsia="宋体" w:hAnsi="Times New Roman" w:cs="Times New Roman"/>
          <w:kern w:val="0"/>
          <w:sz w:val="24"/>
          <w:lang w:bidi="ar"/>
        </w:rPr>
        <w:t>反应液（反应液</w:t>
      </w:r>
      <w:proofErr w:type="gramStart"/>
      <w:r>
        <w:rPr>
          <w:rFonts w:ascii="Times New Roman" w:eastAsia="宋体" w:hAnsi="Times New Roman" w:cs="Times New Roman"/>
          <w:kern w:val="0"/>
          <w:sz w:val="24"/>
          <w:lang w:bidi="ar"/>
        </w:rPr>
        <w:t>配制请</w:t>
      </w:r>
      <w:proofErr w:type="gramEnd"/>
      <w:r>
        <w:rPr>
          <w:rFonts w:ascii="Times New Roman" w:eastAsia="宋体" w:hAnsi="Times New Roman" w:cs="Times New Roman"/>
          <w:kern w:val="0"/>
          <w:sz w:val="24"/>
          <w:lang w:bidi="ar"/>
        </w:rPr>
        <w:t>在冰盒上进行）：</w:t>
      </w:r>
      <w:r>
        <w:rPr>
          <w:rFonts w:ascii="Times New Roman" w:eastAsia="宋体" w:hAnsi="Times New Roman" w:cs="Times New Roman"/>
          <w:kern w:val="0"/>
          <w:sz w:val="24"/>
          <w:lang w:bidi="ar"/>
        </w:rPr>
        <w:t xml:space="preserve"> </w:t>
      </w:r>
    </w:p>
    <w:tbl>
      <w:tblPr>
        <w:tblStyle w:val="a6"/>
        <w:tblW w:w="4991" w:type="pct"/>
        <w:tblLook w:val="04A0" w:firstRow="1" w:lastRow="0" w:firstColumn="1" w:lastColumn="0" w:noHBand="0" w:noVBand="1"/>
      </w:tblPr>
      <w:tblGrid>
        <w:gridCol w:w="4986"/>
        <w:gridCol w:w="2478"/>
        <w:gridCol w:w="2480"/>
      </w:tblGrid>
      <w:tr w:rsidR="001A279C">
        <w:trPr>
          <w:trHeight w:val="23"/>
        </w:trPr>
        <w:tc>
          <w:tcPr>
            <w:tcW w:w="2506" w:type="pct"/>
            <w:tcBorders>
              <w:top w:val="single" w:sz="4" w:space="0" w:color="auto"/>
              <w:left w:val="nil"/>
              <w:bottom w:val="single" w:sz="4" w:space="0" w:color="auto"/>
              <w:right w:val="nil"/>
            </w:tcBorders>
            <w:shd w:val="clear" w:color="auto" w:fill="auto"/>
            <w:vAlign w:val="center"/>
          </w:tcPr>
          <w:p w:rsidR="001A279C" w:rsidRDefault="00BC4357">
            <w:pPr>
              <w:spacing w:line="360" w:lineRule="auto"/>
              <w:jc w:val="center"/>
              <w:rPr>
                <w:rFonts w:ascii="Times New Roman" w:eastAsia="宋体" w:hAnsi="Times New Roman" w:cs="Times New Roman"/>
                <w:sz w:val="24"/>
              </w:rPr>
            </w:pPr>
            <w:r>
              <w:rPr>
                <w:rFonts w:ascii="Times New Roman" w:eastAsia="宋体" w:hAnsi="Times New Roman" w:cs="Times New Roman"/>
                <w:sz w:val="24"/>
              </w:rPr>
              <w:t>试剂</w:t>
            </w:r>
          </w:p>
        </w:tc>
        <w:tc>
          <w:tcPr>
            <w:tcW w:w="1246" w:type="pct"/>
            <w:tcBorders>
              <w:top w:val="single" w:sz="4" w:space="0" w:color="auto"/>
              <w:left w:val="nil"/>
              <w:bottom w:val="single" w:sz="4" w:space="0" w:color="auto"/>
              <w:right w:val="nil"/>
            </w:tcBorders>
            <w:shd w:val="clear" w:color="auto" w:fill="auto"/>
            <w:vAlign w:val="center"/>
          </w:tcPr>
          <w:p w:rsidR="001A279C" w:rsidRDefault="00BC4357">
            <w:pPr>
              <w:spacing w:line="360" w:lineRule="auto"/>
              <w:jc w:val="center"/>
              <w:rPr>
                <w:rFonts w:ascii="Times New Roman" w:eastAsia="宋体" w:hAnsi="Times New Roman" w:cs="Times New Roman"/>
                <w:sz w:val="24"/>
              </w:rPr>
            </w:pPr>
            <w:r>
              <w:rPr>
                <w:rFonts w:ascii="Times New Roman" w:eastAsia="宋体" w:hAnsi="Times New Roman" w:cs="Times New Roman"/>
                <w:sz w:val="24"/>
              </w:rPr>
              <w:t>25μL</w:t>
            </w:r>
            <w:r>
              <w:rPr>
                <w:rFonts w:ascii="Times New Roman" w:eastAsia="宋体" w:hAnsi="Times New Roman" w:cs="Times New Roman"/>
                <w:sz w:val="24"/>
              </w:rPr>
              <w:t>体系</w:t>
            </w:r>
          </w:p>
        </w:tc>
        <w:tc>
          <w:tcPr>
            <w:tcW w:w="1247" w:type="pct"/>
            <w:tcBorders>
              <w:top w:val="single" w:sz="4" w:space="0" w:color="auto"/>
              <w:left w:val="nil"/>
              <w:bottom w:val="single" w:sz="4" w:space="0" w:color="auto"/>
              <w:right w:val="nil"/>
            </w:tcBorders>
            <w:shd w:val="clear" w:color="auto" w:fill="auto"/>
            <w:vAlign w:val="center"/>
          </w:tcPr>
          <w:p w:rsidR="001A279C" w:rsidRDefault="00BC4357">
            <w:pPr>
              <w:spacing w:line="360" w:lineRule="auto"/>
              <w:jc w:val="center"/>
              <w:rPr>
                <w:rFonts w:ascii="Times New Roman" w:eastAsia="宋体" w:hAnsi="Times New Roman" w:cs="Times New Roman"/>
                <w:sz w:val="24"/>
              </w:rPr>
            </w:pPr>
            <w:r>
              <w:rPr>
                <w:rFonts w:ascii="Times New Roman" w:eastAsia="宋体" w:hAnsi="Times New Roman" w:cs="Times New Roman"/>
                <w:sz w:val="24"/>
              </w:rPr>
              <w:t>终浓度</w:t>
            </w:r>
          </w:p>
        </w:tc>
      </w:tr>
      <w:tr w:rsidR="001A279C">
        <w:trPr>
          <w:trHeight w:val="23"/>
        </w:trPr>
        <w:tc>
          <w:tcPr>
            <w:tcW w:w="2506" w:type="pct"/>
            <w:tcBorders>
              <w:top w:val="single" w:sz="4" w:space="0" w:color="auto"/>
              <w:left w:val="nil"/>
              <w:bottom w:val="nil"/>
              <w:right w:val="nil"/>
            </w:tcBorders>
            <w:shd w:val="clear" w:color="auto" w:fill="auto"/>
            <w:vAlign w:val="center"/>
          </w:tcPr>
          <w:p w:rsidR="001A279C" w:rsidRDefault="00BC4357">
            <w:pPr>
              <w:spacing w:line="360" w:lineRule="auto"/>
              <w:jc w:val="center"/>
              <w:rPr>
                <w:rFonts w:ascii="Times New Roman" w:eastAsia="宋体" w:hAnsi="Times New Roman" w:cs="Times New Roman"/>
                <w:sz w:val="24"/>
              </w:rPr>
            </w:pPr>
            <w:r>
              <w:rPr>
                <w:rFonts w:ascii="Times New Roman" w:eastAsia="宋体" w:hAnsi="Times New Roman" w:cs="Times New Roman"/>
                <w:sz w:val="24"/>
              </w:rPr>
              <w:t>2</w:t>
            </w:r>
            <w:r>
              <w:rPr>
                <w:rFonts w:ascii="Times New Roman" w:eastAsia="宋体" w:hAnsi="Times New Roman" w:cs="Times New Roman"/>
                <w:sz w:val="24"/>
              </w:rPr>
              <w:t xml:space="preserve">× </w:t>
            </w:r>
            <w:r>
              <w:rPr>
                <w:rFonts w:ascii="Times New Roman" w:eastAsia="宋体" w:hAnsi="Times New Roman" w:cs="Times New Roman"/>
                <w:sz w:val="24"/>
              </w:rPr>
              <w:t>SYBR Green qPCR Mix</w:t>
            </w:r>
          </w:p>
        </w:tc>
        <w:tc>
          <w:tcPr>
            <w:tcW w:w="1246" w:type="pct"/>
            <w:tcBorders>
              <w:top w:val="single" w:sz="4" w:space="0" w:color="auto"/>
              <w:left w:val="nil"/>
              <w:bottom w:val="nil"/>
              <w:right w:val="nil"/>
            </w:tcBorders>
            <w:shd w:val="clear" w:color="auto" w:fill="auto"/>
            <w:vAlign w:val="center"/>
          </w:tcPr>
          <w:p w:rsidR="001A279C" w:rsidRDefault="00BC4357">
            <w:pPr>
              <w:spacing w:line="360" w:lineRule="auto"/>
              <w:jc w:val="center"/>
              <w:rPr>
                <w:rFonts w:ascii="Times New Roman" w:eastAsia="宋体" w:hAnsi="Times New Roman" w:cs="Times New Roman"/>
                <w:sz w:val="24"/>
              </w:rPr>
            </w:pPr>
            <w:r>
              <w:rPr>
                <w:rFonts w:ascii="Times New Roman" w:eastAsia="宋体" w:hAnsi="Times New Roman" w:cs="Times New Roman"/>
                <w:sz w:val="24"/>
              </w:rPr>
              <w:t>12.5μL</w:t>
            </w:r>
          </w:p>
        </w:tc>
        <w:tc>
          <w:tcPr>
            <w:tcW w:w="1247" w:type="pct"/>
            <w:tcBorders>
              <w:top w:val="single" w:sz="4" w:space="0" w:color="auto"/>
              <w:left w:val="nil"/>
              <w:bottom w:val="nil"/>
              <w:right w:val="nil"/>
            </w:tcBorders>
            <w:shd w:val="clear" w:color="auto" w:fill="auto"/>
            <w:vAlign w:val="center"/>
          </w:tcPr>
          <w:p w:rsidR="001A279C" w:rsidRDefault="00BC4357">
            <w:pPr>
              <w:spacing w:line="360" w:lineRule="auto"/>
              <w:jc w:val="center"/>
              <w:rPr>
                <w:rFonts w:ascii="Times New Roman" w:eastAsia="宋体" w:hAnsi="Times New Roman" w:cs="Times New Roman"/>
                <w:sz w:val="24"/>
              </w:rPr>
            </w:pPr>
            <w:r>
              <w:rPr>
                <w:rFonts w:ascii="Times New Roman" w:eastAsia="宋体" w:hAnsi="Times New Roman" w:cs="Times New Roman"/>
                <w:sz w:val="24"/>
              </w:rPr>
              <w:t>1×</w:t>
            </w:r>
          </w:p>
        </w:tc>
      </w:tr>
      <w:tr w:rsidR="001A279C">
        <w:trPr>
          <w:trHeight w:val="23"/>
        </w:trPr>
        <w:tc>
          <w:tcPr>
            <w:tcW w:w="2506" w:type="pct"/>
            <w:tcBorders>
              <w:top w:val="nil"/>
              <w:left w:val="nil"/>
              <w:bottom w:val="nil"/>
              <w:right w:val="nil"/>
            </w:tcBorders>
            <w:shd w:val="clear" w:color="auto" w:fill="auto"/>
            <w:vAlign w:val="center"/>
          </w:tcPr>
          <w:p w:rsidR="001A279C" w:rsidRDefault="00BC4357">
            <w:pPr>
              <w:spacing w:line="360" w:lineRule="auto"/>
              <w:jc w:val="center"/>
              <w:rPr>
                <w:rFonts w:ascii="Times New Roman" w:eastAsia="宋体" w:hAnsi="Times New Roman" w:cs="Times New Roman"/>
                <w:sz w:val="24"/>
              </w:rPr>
            </w:pPr>
            <w:r>
              <w:rPr>
                <w:rFonts w:ascii="Times New Roman" w:eastAsia="宋体" w:hAnsi="Times New Roman" w:cs="Times New Roman"/>
                <w:sz w:val="24"/>
              </w:rPr>
              <w:t>Primer I (10µM)</w:t>
            </w:r>
          </w:p>
        </w:tc>
        <w:tc>
          <w:tcPr>
            <w:tcW w:w="1246" w:type="pct"/>
            <w:tcBorders>
              <w:top w:val="nil"/>
              <w:left w:val="nil"/>
              <w:bottom w:val="nil"/>
              <w:right w:val="nil"/>
            </w:tcBorders>
            <w:shd w:val="clear" w:color="auto" w:fill="auto"/>
            <w:vAlign w:val="center"/>
          </w:tcPr>
          <w:p w:rsidR="001A279C" w:rsidRDefault="00BC4357">
            <w:pPr>
              <w:spacing w:line="360" w:lineRule="auto"/>
              <w:jc w:val="center"/>
              <w:rPr>
                <w:rFonts w:ascii="Times New Roman" w:eastAsia="宋体" w:hAnsi="Times New Roman" w:cs="Times New Roman"/>
                <w:sz w:val="24"/>
              </w:rPr>
            </w:pPr>
            <w:r>
              <w:rPr>
                <w:rFonts w:ascii="Times New Roman" w:eastAsia="宋体" w:hAnsi="Times New Roman" w:cs="Times New Roman"/>
                <w:sz w:val="24"/>
              </w:rPr>
              <w:t>0.5-2.5μL</w:t>
            </w:r>
          </w:p>
        </w:tc>
        <w:tc>
          <w:tcPr>
            <w:tcW w:w="1247" w:type="pct"/>
            <w:tcBorders>
              <w:top w:val="nil"/>
              <w:left w:val="nil"/>
              <w:bottom w:val="nil"/>
              <w:right w:val="nil"/>
            </w:tcBorders>
            <w:shd w:val="clear" w:color="auto" w:fill="auto"/>
            <w:vAlign w:val="center"/>
          </w:tcPr>
          <w:p w:rsidR="001A279C" w:rsidRDefault="00BC4357">
            <w:pPr>
              <w:spacing w:line="360" w:lineRule="auto"/>
              <w:jc w:val="center"/>
              <w:rPr>
                <w:rFonts w:ascii="Times New Roman" w:eastAsia="宋体" w:hAnsi="Times New Roman" w:cs="Times New Roman"/>
                <w:sz w:val="24"/>
              </w:rPr>
            </w:pPr>
            <w:r>
              <w:rPr>
                <w:rFonts w:ascii="Times New Roman" w:eastAsia="宋体" w:hAnsi="Times New Roman" w:cs="Times New Roman"/>
                <w:sz w:val="24"/>
              </w:rPr>
              <w:t>0.2-1.0μM</w:t>
            </w:r>
          </w:p>
        </w:tc>
      </w:tr>
      <w:tr w:rsidR="001A279C">
        <w:trPr>
          <w:trHeight w:val="23"/>
        </w:trPr>
        <w:tc>
          <w:tcPr>
            <w:tcW w:w="2506" w:type="pct"/>
            <w:tcBorders>
              <w:top w:val="nil"/>
              <w:left w:val="nil"/>
              <w:bottom w:val="nil"/>
              <w:right w:val="nil"/>
            </w:tcBorders>
            <w:shd w:val="clear" w:color="auto" w:fill="auto"/>
            <w:vAlign w:val="center"/>
          </w:tcPr>
          <w:p w:rsidR="001A279C" w:rsidRDefault="00BC4357">
            <w:pPr>
              <w:spacing w:line="360" w:lineRule="auto"/>
              <w:jc w:val="center"/>
              <w:rPr>
                <w:rFonts w:ascii="Times New Roman" w:eastAsia="宋体" w:hAnsi="Times New Roman" w:cs="Times New Roman"/>
                <w:sz w:val="24"/>
              </w:rPr>
            </w:pPr>
            <w:r>
              <w:rPr>
                <w:rFonts w:ascii="Times New Roman" w:eastAsia="宋体" w:hAnsi="Times New Roman" w:cs="Times New Roman"/>
                <w:sz w:val="24"/>
              </w:rPr>
              <w:t>Primer II (10µM)</w:t>
            </w:r>
          </w:p>
        </w:tc>
        <w:tc>
          <w:tcPr>
            <w:tcW w:w="1246" w:type="pct"/>
            <w:tcBorders>
              <w:top w:val="nil"/>
              <w:left w:val="nil"/>
              <w:bottom w:val="nil"/>
              <w:right w:val="nil"/>
            </w:tcBorders>
            <w:shd w:val="clear" w:color="auto" w:fill="auto"/>
            <w:vAlign w:val="center"/>
          </w:tcPr>
          <w:p w:rsidR="001A279C" w:rsidRDefault="00BC4357">
            <w:pPr>
              <w:spacing w:line="360" w:lineRule="auto"/>
              <w:jc w:val="center"/>
              <w:rPr>
                <w:rFonts w:ascii="Times New Roman" w:eastAsia="宋体" w:hAnsi="Times New Roman" w:cs="Times New Roman"/>
                <w:sz w:val="24"/>
              </w:rPr>
            </w:pPr>
            <w:r>
              <w:rPr>
                <w:rFonts w:ascii="Times New Roman" w:eastAsia="宋体" w:hAnsi="Times New Roman" w:cs="Times New Roman"/>
                <w:sz w:val="24"/>
              </w:rPr>
              <w:t>0.5-2.5μL</w:t>
            </w:r>
          </w:p>
        </w:tc>
        <w:tc>
          <w:tcPr>
            <w:tcW w:w="1247" w:type="pct"/>
            <w:tcBorders>
              <w:top w:val="nil"/>
              <w:left w:val="nil"/>
              <w:bottom w:val="nil"/>
              <w:right w:val="nil"/>
            </w:tcBorders>
            <w:shd w:val="clear" w:color="auto" w:fill="auto"/>
            <w:vAlign w:val="center"/>
          </w:tcPr>
          <w:p w:rsidR="001A279C" w:rsidRDefault="00BC4357">
            <w:pPr>
              <w:spacing w:line="360" w:lineRule="auto"/>
              <w:jc w:val="center"/>
              <w:rPr>
                <w:rFonts w:ascii="Times New Roman" w:eastAsia="宋体" w:hAnsi="Times New Roman" w:cs="Times New Roman"/>
                <w:sz w:val="24"/>
              </w:rPr>
            </w:pPr>
            <w:r>
              <w:rPr>
                <w:rFonts w:ascii="Times New Roman" w:eastAsia="宋体" w:hAnsi="Times New Roman" w:cs="Times New Roman"/>
                <w:sz w:val="24"/>
              </w:rPr>
              <w:t>0.2-1.0μM</w:t>
            </w:r>
          </w:p>
        </w:tc>
      </w:tr>
      <w:tr w:rsidR="001A279C">
        <w:trPr>
          <w:trHeight w:val="23"/>
        </w:trPr>
        <w:tc>
          <w:tcPr>
            <w:tcW w:w="2506" w:type="pct"/>
            <w:tcBorders>
              <w:top w:val="nil"/>
              <w:left w:val="nil"/>
              <w:bottom w:val="nil"/>
              <w:right w:val="nil"/>
            </w:tcBorders>
            <w:shd w:val="clear" w:color="auto" w:fill="auto"/>
            <w:vAlign w:val="center"/>
          </w:tcPr>
          <w:p w:rsidR="001A279C" w:rsidRDefault="00BC4357">
            <w:pPr>
              <w:spacing w:line="360" w:lineRule="auto"/>
              <w:jc w:val="center"/>
              <w:rPr>
                <w:rFonts w:ascii="Times New Roman" w:eastAsia="宋体" w:hAnsi="Times New Roman" w:cs="Times New Roman"/>
                <w:sz w:val="24"/>
              </w:rPr>
            </w:pPr>
            <w:r>
              <w:rPr>
                <w:rFonts w:ascii="Times New Roman" w:eastAsia="宋体" w:hAnsi="Times New Roman" w:cs="Times New Roman"/>
                <w:sz w:val="24"/>
              </w:rPr>
              <w:t>ROX Reference Dye I or ROX Reference Dye II</w:t>
            </w:r>
          </w:p>
        </w:tc>
        <w:tc>
          <w:tcPr>
            <w:tcW w:w="1246" w:type="pct"/>
            <w:tcBorders>
              <w:top w:val="nil"/>
              <w:left w:val="nil"/>
              <w:bottom w:val="nil"/>
              <w:right w:val="nil"/>
            </w:tcBorders>
            <w:shd w:val="clear" w:color="auto" w:fill="auto"/>
            <w:vAlign w:val="center"/>
          </w:tcPr>
          <w:p w:rsidR="001A279C" w:rsidRDefault="00BC4357">
            <w:pPr>
              <w:spacing w:line="360" w:lineRule="auto"/>
              <w:jc w:val="center"/>
              <w:rPr>
                <w:rFonts w:ascii="Times New Roman" w:eastAsia="宋体" w:hAnsi="Times New Roman" w:cs="Times New Roman"/>
                <w:sz w:val="24"/>
              </w:rPr>
            </w:pPr>
            <w:r>
              <w:rPr>
                <w:rFonts w:ascii="Times New Roman" w:eastAsia="宋体" w:hAnsi="Times New Roman" w:cs="Times New Roman"/>
                <w:sz w:val="24"/>
              </w:rPr>
              <w:t>0.5μL or 0.25μL</w:t>
            </w:r>
          </w:p>
        </w:tc>
        <w:tc>
          <w:tcPr>
            <w:tcW w:w="1247" w:type="pct"/>
            <w:tcBorders>
              <w:top w:val="nil"/>
              <w:left w:val="nil"/>
              <w:bottom w:val="nil"/>
              <w:right w:val="nil"/>
            </w:tcBorders>
            <w:shd w:val="clear" w:color="auto" w:fill="auto"/>
            <w:vAlign w:val="center"/>
          </w:tcPr>
          <w:p w:rsidR="001A279C" w:rsidRDefault="00BC4357">
            <w:pPr>
              <w:spacing w:line="360" w:lineRule="auto"/>
              <w:jc w:val="center"/>
              <w:rPr>
                <w:rFonts w:ascii="Times New Roman" w:eastAsia="宋体" w:hAnsi="Times New Roman" w:cs="Times New Roman"/>
                <w:sz w:val="24"/>
              </w:rPr>
            </w:pPr>
            <w:r>
              <w:rPr>
                <w:rFonts w:ascii="Times New Roman" w:eastAsia="宋体" w:hAnsi="Times New Roman" w:cs="Times New Roman"/>
                <w:sz w:val="24"/>
              </w:rPr>
              <w:t>1×</w:t>
            </w:r>
          </w:p>
        </w:tc>
      </w:tr>
      <w:tr w:rsidR="001A279C">
        <w:trPr>
          <w:trHeight w:val="23"/>
        </w:trPr>
        <w:tc>
          <w:tcPr>
            <w:tcW w:w="2506" w:type="pct"/>
            <w:tcBorders>
              <w:top w:val="nil"/>
              <w:left w:val="nil"/>
              <w:bottom w:val="nil"/>
              <w:right w:val="nil"/>
            </w:tcBorders>
            <w:shd w:val="clear" w:color="auto" w:fill="auto"/>
            <w:vAlign w:val="center"/>
          </w:tcPr>
          <w:p w:rsidR="001A279C" w:rsidRDefault="00BC4357">
            <w:pPr>
              <w:spacing w:line="360" w:lineRule="auto"/>
              <w:jc w:val="center"/>
              <w:rPr>
                <w:rFonts w:ascii="Times New Roman" w:eastAsia="宋体" w:hAnsi="Times New Roman" w:cs="Times New Roman"/>
                <w:sz w:val="24"/>
              </w:rPr>
            </w:pPr>
            <w:r>
              <w:rPr>
                <w:rFonts w:ascii="Times New Roman" w:eastAsia="宋体" w:hAnsi="Times New Roman" w:cs="Times New Roman"/>
                <w:sz w:val="24"/>
              </w:rPr>
              <w:t>Template DNA</w:t>
            </w:r>
          </w:p>
        </w:tc>
        <w:tc>
          <w:tcPr>
            <w:tcW w:w="1246" w:type="pct"/>
            <w:tcBorders>
              <w:top w:val="nil"/>
              <w:left w:val="nil"/>
              <w:bottom w:val="nil"/>
              <w:right w:val="nil"/>
            </w:tcBorders>
            <w:shd w:val="clear" w:color="auto" w:fill="auto"/>
            <w:vAlign w:val="center"/>
          </w:tcPr>
          <w:p w:rsidR="001A279C" w:rsidRDefault="00BC4357">
            <w:pPr>
              <w:spacing w:line="360" w:lineRule="auto"/>
              <w:jc w:val="center"/>
              <w:rPr>
                <w:rFonts w:ascii="Times New Roman" w:eastAsia="宋体" w:hAnsi="Times New Roman" w:cs="Times New Roman"/>
                <w:sz w:val="24"/>
              </w:rPr>
            </w:pPr>
            <w:r>
              <w:rPr>
                <w:rFonts w:ascii="Times New Roman" w:eastAsia="宋体" w:hAnsi="Times New Roman" w:cs="Times New Roman"/>
                <w:sz w:val="24"/>
              </w:rPr>
              <w:t>1-5μL</w:t>
            </w:r>
          </w:p>
        </w:tc>
        <w:tc>
          <w:tcPr>
            <w:tcW w:w="1247" w:type="pct"/>
            <w:tcBorders>
              <w:top w:val="nil"/>
              <w:left w:val="nil"/>
              <w:bottom w:val="nil"/>
              <w:right w:val="nil"/>
            </w:tcBorders>
            <w:shd w:val="clear" w:color="auto" w:fill="auto"/>
            <w:vAlign w:val="center"/>
          </w:tcPr>
          <w:p w:rsidR="001A279C" w:rsidRDefault="00BC4357">
            <w:pPr>
              <w:spacing w:line="360" w:lineRule="auto"/>
              <w:jc w:val="center"/>
              <w:rPr>
                <w:rFonts w:ascii="Times New Roman" w:eastAsia="宋体" w:hAnsi="Times New Roman" w:cs="Times New Roman"/>
                <w:sz w:val="24"/>
              </w:rPr>
            </w:pPr>
            <w:r>
              <w:rPr>
                <w:rFonts w:ascii="Times New Roman" w:eastAsia="宋体" w:hAnsi="Times New Roman" w:cs="Times New Roman"/>
                <w:bCs/>
                <w:sz w:val="24"/>
              </w:rPr>
              <w:t>—</w:t>
            </w:r>
          </w:p>
        </w:tc>
      </w:tr>
      <w:tr w:rsidR="001A279C">
        <w:trPr>
          <w:trHeight w:val="23"/>
        </w:trPr>
        <w:tc>
          <w:tcPr>
            <w:tcW w:w="2506" w:type="pct"/>
            <w:tcBorders>
              <w:top w:val="nil"/>
              <w:left w:val="nil"/>
              <w:bottom w:val="single" w:sz="4" w:space="0" w:color="auto"/>
              <w:right w:val="nil"/>
            </w:tcBorders>
            <w:shd w:val="clear" w:color="auto" w:fill="auto"/>
            <w:vAlign w:val="center"/>
          </w:tcPr>
          <w:p w:rsidR="001A279C" w:rsidRDefault="00BC4357">
            <w:pPr>
              <w:spacing w:line="360" w:lineRule="auto"/>
              <w:jc w:val="center"/>
              <w:rPr>
                <w:rFonts w:ascii="Times New Roman" w:eastAsia="宋体" w:hAnsi="Times New Roman" w:cs="Times New Roman"/>
                <w:sz w:val="24"/>
              </w:rPr>
            </w:pPr>
            <w:r>
              <w:rPr>
                <w:rFonts w:ascii="Times New Roman" w:eastAsia="宋体" w:hAnsi="Times New Roman" w:cs="Times New Roman"/>
                <w:sz w:val="24"/>
              </w:rPr>
              <w:t>ddH</w:t>
            </w:r>
            <w:r>
              <w:rPr>
                <w:rFonts w:ascii="Times New Roman" w:eastAsia="宋体" w:hAnsi="Times New Roman" w:cs="Times New Roman"/>
                <w:sz w:val="24"/>
                <w:vertAlign w:val="subscript"/>
              </w:rPr>
              <w:t>2</w:t>
            </w:r>
            <w:r>
              <w:rPr>
                <w:rFonts w:ascii="Times New Roman" w:eastAsia="宋体" w:hAnsi="Times New Roman" w:cs="Times New Roman"/>
                <w:sz w:val="24"/>
              </w:rPr>
              <w:t>O</w:t>
            </w:r>
          </w:p>
        </w:tc>
        <w:tc>
          <w:tcPr>
            <w:tcW w:w="1246" w:type="pct"/>
            <w:tcBorders>
              <w:top w:val="nil"/>
              <w:left w:val="nil"/>
              <w:bottom w:val="single" w:sz="4" w:space="0" w:color="auto"/>
              <w:right w:val="nil"/>
            </w:tcBorders>
            <w:shd w:val="clear" w:color="auto" w:fill="auto"/>
            <w:vAlign w:val="center"/>
          </w:tcPr>
          <w:p w:rsidR="001A279C" w:rsidRDefault="00BC4357">
            <w:pPr>
              <w:spacing w:line="360" w:lineRule="auto"/>
              <w:jc w:val="center"/>
              <w:rPr>
                <w:rFonts w:ascii="Times New Roman" w:eastAsia="宋体" w:hAnsi="Times New Roman" w:cs="Times New Roman"/>
                <w:sz w:val="24"/>
              </w:rPr>
            </w:pPr>
            <w:r>
              <w:rPr>
                <w:rFonts w:ascii="Times New Roman" w:eastAsia="宋体" w:hAnsi="Times New Roman" w:cs="Times New Roman"/>
                <w:sz w:val="24"/>
              </w:rPr>
              <w:t>Up to 25μL</w:t>
            </w:r>
          </w:p>
        </w:tc>
        <w:tc>
          <w:tcPr>
            <w:tcW w:w="1247" w:type="pct"/>
            <w:tcBorders>
              <w:top w:val="nil"/>
              <w:left w:val="nil"/>
              <w:bottom w:val="single" w:sz="4" w:space="0" w:color="auto"/>
              <w:right w:val="nil"/>
            </w:tcBorders>
            <w:shd w:val="clear" w:color="auto" w:fill="auto"/>
            <w:vAlign w:val="center"/>
          </w:tcPr>
          <w:p w:rsidR="001A279C" w:rsidRDefault="00BC4357">
            <w:pPr>
              <w:spacing w:line="360" w:lineRule="auto"/>
              <w:jc w:val="center"/>
              <w:rPr>
                <w:rFonts w:ascii="Times New Roman" w:eastAsia="宋体" w:hAnsi="Times New Roman" w:cs="Times New Roman"/>
                <w:sz w:val="24"/>
              </w:rPr>
            </w:pPr>
            <w:r>
              <w:rPr>
                <w:rFonts w:ascii="Times New Roman" w:eastAsia="宋体" w:hAnsi="Times New Roman" w:cs="Times New Roman"/>
                <w:bCs/>
                <w:sz w:val="24"/>
              </w:rPr>
              <w:t>—</w:t>
            </w:r>
          </w:p>
        </w:tc>
      </w:tr>
    </w:tbl>
    <w:p w:rsidR="001A279C" w:rsidRDefault="00BC4357">
      <w:pPr>
        <w:widowControl/>
        <w:autoSpaceDE w:val="0"/>
        <w:spacing w:line="360" w:lineRule="exact"/>
        <w:jc w:val="left"/>
        <w:rPr>
          <w:rFonts w:ascii="Times New Roman" w:hAnsi="Times New Roman" w:cs="Times New Roman"/>
          <w:spacing w:val="-2"/>
          <w:szCs w:val="21"/>
        </w:rPr>
      </w:pPr>
      <w:r>
        <w:rPr>
          <w:rFonts w:ascii="Times New Roman" w:hAnsi="Times New Roman" w:cs="Times New Roman"/>
          <w:spacing w:val="-2"/>
          <w:szCs w:val="21"/>
        </w:rPr>
        <w:t>注：各组分用量可根据实际需求进行调整，</w:t>
      </w:r>
      <w:r>
        <w:rPr>
          <w:rFonts w:ascii="Times New Roman" w:hAnsi="Times New Roman" w:cs="Times New Roman"/>
          <w:spacing w:val="-2"/>
          <w:szCs w:val="21"/>
        </w:rPr>
        <w:t>ROX Reference Dye</w:t>
      </w:r>
      <w:r>
        <w:rPr>
          <w:rFonts w:ascii="Times New Roman" w:hAnsi="Times New Roman" w:cs="Times New Roman"/>
          <w:spacing w:val="-2"/>
          <w:szCs w:val="21"/>
        </w:rPr>
        <w:t>需要用户根据实际使用的机型选择是否添加。</w:t>
      </w:r>
    </w:p>
    <w:p w:rsidR="001A279C" w:rsidRDefault="00BC4357">
      <w:pPr>
        <w:widowControl/>
        <w:numPr>
          <w:ilvl w:val="0"/>
          <w:numId w:val="1"/>
        </w:numPr>
        <w:autoSpaceDE w:val="0"/>
        <w:spacing w:line="400" w:lineRule="exact"/>
        <w:ind w:firstLineChars="200" w:firstLine="480"/>
        <w:jc w:val="left"/>
        <w:rPr>
          <w:rFonts w:ascii="Times New Roman" w:eastAsia="宋体" w:hAnsi="Times New Roman" w:cs="Times New Roman"/>
          <w:kern w:val="0"/>
          <w:sz w:val="24"/>
          <w:lang w:bidi="ar"/>
        </w:rPr>
      </w:pPr>
      <w:r>
        <w:rPr>
          <w:rFonts w:ascii="Times New Roman" w:eastAsia="宋体" w:hAnsi="Times New Roman" w:cs="Times New Roman"/>
          <w:kern w:val="0"/>
          <w:sz w:val="24"/>
          <w:lang w:bidi="ar"/>
        </w:rPr>
        <w:t>通常情况下，可以采用两步法进行反应；如果两步法扩增不理想，可以采用三步法设置</w:t>
      </w:r>
      <w:r>
        <w:rPr>
          <w:rFonts w:ascii="Times New Roman" w:eastAsia="宋体" w:hAnsi="Times New Roman" w:cs="Times New Roman"/>
          <w:kern w:val="0"/>
          <w:sz w:val="24"/>
          <w:lang w:bidi="ar"/>
        </w:rPr>
        <w:t>PCR</w:t>
      </w:r>
      <w:r>
        <w:rPr>
          <w:rFonts w:ascii="Times New Roman" w:eastAsia="宋体" w:hAnsi="Times New Roman" w:cs="Times New Roman"/>
          <w:kern w:val="0"/>
          <w:sz w:val="24"/>
          <w:lang w:bidi="ar"/>
        </w:rPr>
        <w:t>反应程序。</w:t>
      </w:r>
    </w:p>
    <w:tbl>
      <w:tblPr>
        <w:tblStyle w:val="a6"/>
        <w:tblW w:w="0" w:type="auto"/>
        <w:tblLook w:val="04A0" w:firstRow="1" w:lastRow="0" w:firstColumn="1" w:lastColumn="0" w:noHBand="0" w:noVBand="1"/>
      </w:tblPr>
      <w:tblGrid>
        <w:gridCol w:w="2489"/>
        <w:gridCol w:w="2933"/>
        <w:gridCol w:w="2934"/>
        <w:gridCol w:w="1603"/>
      </w:tblGrid>
      <w:tr w:rsidR="001A279C">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rsidR="001A279C" w:rsidRDefault="00BC4357">
            <w:pPr>
              <w:widowControl/>
              <w:spacing w:line="400" w:lineRule="exact"/>
              <w:jc w:val="center"/>
              <w:rPr>
                <w:rFonts w:ascii="Times New Roman" w:hAnsi="Times New Roman" w:cs="Times New Roman"/>
                <w:bCs/>
                <w:sz w:val="24"/>
              </w:rPr>
            </w:pPr>
            <w:r>
              <w:rPr>
                <w:rFonts w:ascii="Times New Roman" w:hAnsi="Times New Roman" w:cs="Times New Roman"/>
                <w:bCs/>
                <w:sz w:val="24"/>
              </w:rPr>
              <w:t>方法</w:t>
            </w:r>
            <w:r>
              <w:rPr>
                <w:rFonts w:ascii="Times New Roman" w:hAnsi="Times New Roman" w:cs="Times New Roman"/>
                <w:bCs/>
                <w:sz w:val="24"/>
              </w:rPr>
              <w:t>/</w:t>
            </w:r>
            <w:r>
              <w:rPr>
                <w:rFonts w:ascii="Times New Roman" w:hAnsi="Times New Roman" w:cs="Times New Roman"/>
                <w:bCs/>
                <w:sz w:val="24"/>
              </w:rPr>
              <w:t>步骤</w:t>
            </w:r>
          </w:p>
        </w:tc>
        <w:tc>
          <w:tcPr>
            <w:tcW w:w="2933" w:type="dxa"/>
            <w:tcBorders>
              <w:top w:val="single" w:sz="4" w:space="0" w:color="auto"/>
              <w:left w:val="single" w:sz="4" w:space="0" w:color="auto"/>
              <w:bottom w:val="single" w:sz="4" w:space="0" w:color="auto"/>
              <w:right w:val="single" w:sz="4" w:space="0" w:color="auto"/>
            </w:tcBorders>
            <w:shd w:val="clear" w:color="auto" w:fill="auto"/>
            <w:vAlign w:val="center"/>
          </w:tcPr>
          <w:p w:rsidR="001A279C" w:rsidRDefault="00BC4357">
            <w:pPr>
              <w:widowControl/>
              <w:spacing w:line="400" w:lineRule="exact"/>
              <w:jc w:val="center"/>
              <w:rPr>
                <w:rFonts w:ascii="Times New Roman" w:hAnsi="Times New Roman" w:cs="Times New Roman"/>
                <w:bCs/>
                <w:sz w:val="24"/>
              </w:rPr>
            </w:pPr>
            <w:r>
              <w:rPr>
                <w:rFonts w:ascii="Times New Roman" w:hAnsi="Times New Roman" w:cs="Times New Roman"/>
                <w:bCs/>
                <w:sz w:val="24"/>
              </w:rPr>
              <w:t>两步法</w:t>
            </w:r>
            <w:r>
              <w:rPr>
                <w:rFonts w:ascii="Times New Roman" w:hAnsi="Times New Roman" w:cs="Times New Roman"/>
                <w:bCs/>
                <w:sz w:val="24"/>
              </w:rPr>
              <w:t>real-time PCR</w:t>
            </w:r>
          </w:p>
        </w:tc>
        <w:tc>
          <w:tcPr>
            <w:tcW w:w="2934" w:type="dxa"/>
            <w:tcBorders>
              <w:top w:val="single" w:sz="4" w:space="0" w:color="auto"/>
              <w:left w:val="single" w:sz="4" w:space="0" w:color="auto"/>
              <w:bottom w:val="single" w:sz="4" w:space="0" w:color="auto"/>
              <w:right w:val="single" w:sz="4" w:space="0" w:color="auto"/>
            </w:tcBorders>
            <w:shd w:val="clear" w:color="auto" w:fill="auto"/>
            <w:vAlign w:val="center"/>
          </w:tcPr>
          <w:p w:rsidR="001A279C" w:rsidRDefault="00BC4357">
            <w:pPr>
              <w:widowControl/>
              <w:spacing w:line="400" w:lineRule="exact"/>
              <w:jc w:val="center"/>
              <w:rPr>
                <w:rFonts w:ascii="Times New Roman" w:hAnsi="Times New Roman" w:cs="Times New Roman"/>
                <w:bCs/>
                <w:sz w:val="24"/>
              </w:rPr>
            </w:pPr>
            <w:r>
              <w:rPr>
                <w:rFonts w:ascii="Times New Roman" w:hAnsi="Times New Roman" w:cs="Times New Roman"/>
                <w:bCs/>
                <w:sz w:val="24"/>
              </w:rPr>
              <w:t>三步法</w:t>
            </w:r>
            <w:r>
              <w:rPr>
                <w:rFonts w:ascii="Times New Roman" w:hAnsi="Times New Roman" w:cs="Times New Roman"/>
                <w:bCs/>
                <w:sz w:val="24"/>
              </w:rPr>
              <w:t>real-time PCR</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rsidR="001A279C" w:rsidRDefault="00BC4357">
            <w:pPr>
              <w:widowControl/>
              <w:spacing w:line="400" w:lineRule="exact"/>
              <w:jc w:val="center"/>
              <w:rPr>
                <w:rFonts w:ascii="Times New Roman" w:hAnsi="Times New Roman" w:cs="Times New Roman"/>
                <w:bCs/>
                <w:sz w:val="24"/>
              </w:rPr>
            </w:pPr>
            <w:r>
              <w:rPr>
                <w:rFonts w:ascii="Times New Roman" w:hAnsi="Times New Roman" w:cs="Times New Roman"/>
                <w:bCs/>
                <w:sz w:val="24"/>
              </w:rPr>
              <w:t>循环数</w:t>
            </w:r>
          </w:p>
        </w:tc>
      </w:tr>
      <w:tr w:rsidR="001A279C">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rsidR="001A279C" w:rsidRDefault="00BC4357">
            <w:pPr>
              <w:widowControl/>
              <w:spacing w:line="400" w:lineRule="exact"/>
              <w:jc w:val="center"/>
              <w:rPr>
                <w:rFonts w:ascii="Times New Roman" w:hAnsi="Times New Roman" w:cs="Times New Roman"/>
                <w:bCs/>
                <w:sz w:val="24"/>
              </w:rPr>
            </w:pPr>
            <w:r>
              <w:rPr>
                <w:rFonts w:ascii="Times New Roman" w:hAnsi="Times New Roman" w:cs="Times New Roman"/>
                <w:bCs/>
                <w:sz w:val="24"/>
              </w:rPr>
              <w:t>95℃</w:t>
            </w:r>
            <w:r>
              <w:rPr>
                <w:rFonts w:ascii="Times New Roman" w:hAnsi="Times New Roman" w:cs="Times New Roman"/>
                <w:bCs/>
                <w:sz w:val="24"/>
              </w:rPr>
              <w:t>（预变性）</w:t>
            </w:r>
          </w:p>
        </w:tc>
        <w:tc>
          <w:tcPr>
            <w:tcW w:w="2933" w:type="dxa"/>
            <w:tcBorders>
              <w:top w:val="single" w:sz="4" w:space="0" w:color="auto"/>
              <w:left w:val="single" w:sz="4" w:space="0" w:color="auto"/>
              <w:bottom w:val="single" w:sz="4" w:space="0" w:color="auto"/>
              <w:right w:val="single" w:sz="4" w:space="0" w:color="auto"/>
            </w:tcBorders>
            <w:shd w:val="clear" w:color="auto" w:fill="auto"/>
            <w:vAlign w:val="center"/>
          </w:tcPr>
          <w:p w:rsidR="001A279C" w:rsidRDefault="00BC4357">
            <w:pPr>
              <w:widowControl/>
              <w:spacing w:line="400" w:lineRule="exact"/>
              <w:jc w:val="center"/>
              <w:rPr>
                <w:rFonts w:ascii="Times New Roman" w:hAnsi="Times New Roman" w:cs="Times New Roman"/>
                <w:bCs/>
                <w:sz w:val="24"/>
              </w:rPr>
            </w:pPr>
            <w:r>
              <w:rPr>
                <w:rFonts w:ascii="Times New Roman" w:hAnsi="Times New Roman" w:cs="Times New Roman"/>
                <w:bCs/>
                <w:sz w:val="24"/>
              </w:rPr>
              <w:t>2-5min</w:t>
            </w:r>
          </w:p>
        </w:tc>
        <w:tc>
          <w:tcPr>
            <w:tcW w:w="2934" w:type="dxa"/>
            <w:tcBorders>
              <w:top w:val="single" w:sz="4" w:space="0" w:color="auto"/>
              <w:left w:val="single" w:sz="4" w:space="0" w:color="auto"/>
              <w:bottom w:val="single" w:sz="4" w:space="0" w:color="auto"/>
              <w:right w:val="single" w:sz="4" w:space="0" w:color="auto"/>
            </w:tcBorders>
            <w:shd w:val="clear" w:color="auto" w:fill="auto"/>
            <w:vAlign w:val="center"/>
          </w:tcPr>
          <w:p w:rsidR="001A279C" w:rsidRDefault="00BC4357">
            <w:pPr>
              <w:widowControl/>
              <w:spacing w:line="400" w:lineRule="exact"/>
              <w:jc w:val="center"/>
              <w:rPr>
                <w:rFonts w:ascii="Times New Roman" w:hAnsi="Times New Roman" w:cs="Times New Roman"/>
                <w:bCs/>
                <w:sz w:val="24"/>
              </w:rPr>
            </w:pPr>
            <w:r>
              <w:rPr>
                <w:rFonts w:ascii="Times New Roman" w:hAnsi="Times New Roman" w:cs="Times New Roman"/>
                <w:bCs/>
                <w:sz w:val="24"/>
              </w:rPr>
              <w:t>2-5min</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rsidR="001A279C" w:rsidRDefault="00BC4357">
            <w:pPr>
              <w:widowControl/>
              <w:spacing w:line="400" w:lineRule="exact"/>
              <w:jc w:val="center"/>
              <w:rPr>
                <w:rFonts w:ascii="Times New Roman" w:hAnsi="Times New Roman" w:cs="Times New Roman"/>
                <w:bCs/>
                <w:sz w:val="24"/>
              </w:rPr>
            </w:pPr>
            <w:r>
              <w:rPr>
                <w:rFonts w:ascii="Times New Roman" w:hAnsi="Times New Roman" w:cs="Times New Roman"/>
                <w:bCs/>
                <w:sz w:val="24"/>
              </w:rPr>
              <w:t>1</w:t>
            </w:r>
          </w:p>
        </w:tc>
      </w:tr>
      <w:tr w:rsidR="001A279C">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rsidR="001A279C" w:rsidRDefault="00BC4357">
            <w:pPr>
              <w:widowControl/>
              <w:spacing w:line="400" w:lineRule="exact"/>
              <w:jc w:val="center"/>
              <w:rPr>
                <w:rFonts w:ascii="Times New Roman" w:hAnsi="Times New Roman" w:cs="Times New Roman"/>
                <w:bCs/>
                <w:sz w:val="24"/>
              </w:rPr>
            </w:pPr>
            <w:r>
              <w:rPr>
                <w:rFonts w:ascii="Times New Roman" w:hAnsi="Times New Roman" w:cs="Times New Roman"/>
                <w:bCs/>
                <w:sz w:val="24"/>
              </w:rPr>
              <w:t>95℃</w:t>
            </w:r>
            <w:r>
              <w:rPr>
                <w:rFonts w:ascii="Times New Roman" w:hAnsi="Times New Roman" w:cs="Times New Roman"/>
                <w:bCs/>
                <w:sz w:val="24"/>
              </w:rPr>
              <w:t>（变性）</w:t>
            </w:r>
          </w:p>
        </w:tc>
        <w:tc>
          <w:tcPr>
            <w:tcW w:w="2933" w:type="dxa"/>
            <w:tcBorders>
              <w:top w:val="single" w:sz="4" w:space="0" w:color="auto"/>
              <w:left w:val="single" w:sz="4" w:space="0" w:color="auto"/>
              <w:bottom w:val="single" w:sz="4" w:space="0" w:color="auto"/>
              <w:right w:val="single" w:sz="4" w:space="0" w:color="auto"/>
            </w:tcBorders>
            <w:shd w:val="clear" w:color="auto" w:fill="auto"/>
            <w:vAlign w:val="center"/>
          </w:tcPr>
          <w:p w:rsidR="001A279C" w:rsidRDefault="00BC4357">
            <w:pPr>
              <w:widowControl/>
              <w:spacing w:line="400" w:lineRule="exact"/>
              <w:jc w:val="center"/>
              <w:rPr>
                <w:rFonts w:ascii="Times New Roman" w:hAnsi="Times New Roman" w:cs="Times New Roman"/>
                <w:bCs/>
                <w:sz w:val="24"/>
              </w:rPr>
            </w:pPr>
            <w:r>
              <w:rPr>
                <w:rFonts w:ascii="Times New Roman" w:hAnsi="Times New Roman" w:cs="Times New Roman"/>
                <w:bCs/>
                <w:sz w:val="24"/>
              </w:rPr>
              <w:t>10-20sec</w:t>
            </w:r>
          </w:p>
        </w:tc>
        <w:tc>
          <w:tcPr>
            <w:tcW w:w="2934" w:type="dxa"/>
            <w:tcBorders>
              <w:top w:val="single" w:sz="4" w:space="0" w:color="auto"/>
              <w:left w:val="single" w:sz="4" w:space="0" w:color="auto"/>
              <w:bottom w:val="single" w:sz="4" w:space="0" w:color="auto"/>
              <w:right w:val="single" w:sz="4" w:space="0" w:color="auto"/>
            </w:tcBorders>
            <w:shd w:val="clear" w:color="auto" w:fill="auto"/>
            <w:vAlign w:val="center"/>
          </w:tcPr>
          <w:p w:rsidR="001A279C" w:rsidRDefault="00BC4357">
            <w:pPr>
              <w:widowControl/>
              <w:spacing w:line="400" w:lineRule="exact"/>
              <w:jc w:val="center"/>
              <w:rPr>
                <w:rFonts w:ascii="Times New Roman" w:hAnsi="Times New Roman" w:cs="Times New Roman"/>
                <w:bCs/>
                <w:sz w:val="24"/>
              </w:rPr>
            </w:pPr>
            <w:r>
              <w:rPr>
                <w:rFonts w:ascii="Times New Roman" w:hAnsi="Times New Roman" w:cs="Times New Roman"/>
                <w:bCs/>
                <w:sz w:val="24"/>
              </w:rPr>
              <w:t>10-20sec</w:t>
            </w:r>
          </w:p>
        </w:tc>
        <w:tc>
          <w:tcPr>
            <w:tcW w:w="16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A279C" w:rsidRDefault="00BC4357">
            <w:pPr>
              <w:widowControl/>
              <w:spacing w:line="400" w:lineRule="exact"/>
              <w:jc w:val="center"/>
              <w:rPr>
                <w:rFonts w:ascii="Times New Roman" w:hAnsi="Times New Roman" w:cs="Times New Roman"/>
                <w:bCs/>
                <w:sz w:val="24"/>
              </w:rPr>
            </w:pPr>
            <w:r>
              <w:rPr>
                <w:rFonts w:ascii="Times New Roman" w:hAnsi="Times New Roman" w:cs="Times New Roman"/>
                <w:bCs/>
                <w:sz w:val="24"/>
              </w:rPr>
              <w:t>35-45Cycles</w:t>
            </w:r>
          </w:p>
        </w:tc>
      </w:tr>
      <w:tr w:rsidR="001A279C">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rsidR="001A279C" w:rsidRDefault="00BC4357">
            <w:pPr>
              <w:widowControl/>
              <w:spacing w:line="400" w:lineRule="exact"/>
              <w:jc w:val="center"/>
              <w:rPr>
                <w:rFonts w:ascii="Times New Roman" w:hAnsi="Times New Roman" w:cs="Times New Roman"/>
                <w:bCs/>
                <w:sz w:val="24"/>
              </w:rPr>
            </w:pPr>
            <w:r>
              <w:rPr>
                <w:rFonts w:ascii="Times New Roman" w:hAnsi="Times New Roman" w:cs="Times New Roman"/>
                <w:bCs/>
                <w:sz w:val="24"/>
              </w:rPr>
              <w:t>55℃-65℃</w:t>
            </w:r>
            <w:r>
              <w:rPr>
                <w:rFonts w:ascii="Times New Roman" w:hAnsi="Times New Roman" w:cs="Times New Roman"/>
                <w:bCs/>
                <w:sz w:val="24"/>
              </w:rPr>
              <w:t>（退火）</w:t>
            </w:r>
          </w:p>
        </w:tc>
        <w:tc>
          <w:tcPr>
            <w:tcW w:w="2933" w:type="dxa"/>
            <w:tcBorders>
              <w:top w:val="single" w:sz="4" w:space="0" w:color="auto"/>
              <w:left w:val="single" w:sz="4" w:space="0" w:color="auto"/>
              <w:bottom w:val="single" w:sz="4" w:space="0" w:color="auto"/>
              <w:right w:val="single" w:sz="4" w:space="0" w:color="auto"/>
            </w:tcBorders>
            <w:shd w:val="clear" w:color="auto" w:fill="auto"/>
            <w:vAlign w:val="center"/>
          </w:tcPr>
          <w:p w:rsidR="001A279C" w:rsidRDefault="00BC4357">
            <w:pPr>
              <w:widowControl/>
              <w:spacing w:line="400" w:lineRule="exact"/>
              <w:jc w:val="center"/>
              <w:rPr>
                <w:rFonts w:ascii="Times New Roman" w:hAnsi="Times New Roman" w:cs="Times New Roman"/>
                <w:bCs/>
                <w:sz w:val="24"/>
              </w:rPr>
            </w:pPr>
            <w:r>
              <w:rPr>
                <w:rFonts w:ascii="Times New Roman" w:hAnsi="Times New Roman" w:cs="Times New Roman"/>
                <w:bCs/>
                <w:sz w:val="24"/>
              </w:rPr>
              <w:t>20sec - 1min</w:t>
            </w:r>
            <w:r>
              <w:rPr>
                <w:rFonts w:ascii="Times New Roman" w:hAnsi="Times New Roman" w:cs="Times New Roman"/>
                <w:bCs/>
                <w:sz w:val="24"/>
              </w:rPr>
              <w:t>（采集荧光）</w:t>
            </w:r>
          </w:p>
        </w:tc>
        <w:tc>
          <w:tcPr>
            <w:tcW w:w="2934" w:type="dxa"/>
            <w:tcBorders>
              <w:top w:val="single" w:sz="4" w:space="0" w:color="auto"/>
              <w:left w:val="single" w:sz="4" w:space="0" w:color="auto"/>
              <w:bottom w:val="single" w:sz="4" w:space="0" w:color="auto"/>
              <w:right w:val="single" w:sz="4" w:space="0" w:color="auto"/>
            </w:tcBorders>
            <w:shd w:val="clear" w:color="auto" w:fill="auto"/>
            <w:vAlign w:val="center"/>
          </w:tcPr>
          <w:p w:rsidR="001A279C" w:rsidRDefault="00BC4357">
            <w:pPr>
              <w:widowControl/>
              <w:spacing w:line="400" w:lineRule="exact"/>
              <w:jc w:val="center"/>
              <w:rPr>
                <w:rFonts w:ascii="Times New Roman" w:hAnsi="Times New Roman" w:cs="Times New Roman"/>
                <w:bCs/>
                <w:sz w:val="24"/>
              </w:rPr>
            </w:pPr>
            <w:r>
              <w:rPr>
                <w:rFonts w:ascii="Times New Roman" w:hAnsi="Times New Roman" w:cs="Times New Roman"/>
                <w:bCs/>
                <w:sz w:val="24"/>
              </w:rPr>
              <w:t>10-20sec</w:t>
            </w:r>
          </w:p>
        </w:tc>
        <w:tc>
          <w:tcPr>
            <w:tcW w:w="16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1A279C" w:rsidRDefault="001A279C">
            <w:pPr>
              <w:widowControl/>
              <w:spacing w:line="400" w:lineRule="exact"/>
              <w:jc w:val="center"/>
              <w:rPr>
                <w:rFonts w:ascii="Times New Roman" w:hAnsi="Times New Roman" w:cs="Times New Roman"/>
                <w:bCs/>
                <w:sz w:val="24"/>
              </w:rPr>
            </w:pPr>
          </w:p>
        </w:tc>
      </w:tr>
      <w:tr w:rsidR="001A279C">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rsidR="001A279C" w:rsidRDefault="00BC4357">
            <w:pPr>
              <w:widowControl/>
              <w:spacing w:line="400" w:lineRule="exact"/>
              <w:jc w:val="center"/>
              <w:rPr>
                <w:rFonts w:ascii="Times New Roman" w:hAnsi="Times New Roman" w:cs="Times New Roman"/>
                <w:bCs/>
                <w:sz w:val="24"/>
              </w:rPr>
            </w:pPr>
            <w:r>
              <w:rPr>
                <w:rFonts w:ascii="Times New Roman" w:hAnsi="Times New Roman" w:cs="Times New Roman"/>
                <w:bCs/>
                <w:sz w:val="24"/>
              </w:rPr>
              <w:t>72℃</w:t>
            </w:r>
            <w:r>
              <w:rPr>
                <w:rFonts w:ascii="Times New Roman" w:hAnsi="Times New Roman" w:cs="Times New Roman"/>
                <w:bCs/>
                <w:sz w:val="24"/>
              </w:rPr>
              <w:t>（延伸）</w:t>
            </w:r>
          </w:p>
        </w:tc>
        <w:tc>
          <w:tcPr>
            <w:tcW w:w="2933" w:type="dxa"/>
            <w:tcBorders>
              <w:top w:val="single" w:sz="4" w:space="0" w:color="auto"/>
              <w:left w:val="single" w:sz="4" w:space="0" w:color="auto"/>
              <w:bottom w:val="single" w:sz="4" w:space="0" w:color="auto"/>
              <w:right w:val="single" w:sz="4" w:space="0" w:color="auto"/>
            </w:tcBorders>
            <w:shd w:val="clear" w:color="auto" w:fill="auto"/>
            <w:vAlign w:val="center"/>
          </w:tcPr>
          <w:p w:rsidR="001A279C" w:rsidRDefault="00BC4357">
            <w:pPr>
              <w:widowControl/>
              <w:spacing w:line="400" w:lineRule="exact"/>
              <w:jc w:val="center"/>
              <w:rPr>
                <w:rFonts w:ascii="Times New Roman" w:hAnsi="Times New Roman" w:cs="Times New Roman"/>
                <w:bCs/>
                <w:sz w:val="24"/>
              </w:rPr>
            </w:pPr>
            <w:r>
              <w:rPr>
                <w:rFonts w:ascii="Times New Roman" w:hAnsi="Times New Roman" w:cs="Times New Roman"/>
                <w:bCs/>
                <w:sz w:val="24"/>
              </w:rPr>
              <w:t>—</w:t>
            </w:r>
          </w:p>
        </w:tc>
        <w:tc>
          <w:tcPr>
            <w:tcW w:w="2934" w:type="dxa"/>
            <w:tcBorders>
              <w:top w:val="single" w:sz="4" w:space="0" w:color="auto"/>
              <w:left w:val="single" w:sz="4" w:space="0" w:color="auto"/>
              <w:bottom w:val="single" w:sz="4" w:space="0" w:color="auto"/>
              <w:right w:val="single" w:sz="4" w:space="0" w:color="auto"/>
            </w:tcBorders>
            <w:shd w:val="clear" w:color="auto" w:fill="auto"/>
            <w:vAlign w:val="center"/>
          </w:tcPr>
          <w:p w:rsidR="001A279C" w:rsidRDefault="00BC4357">
            <w:pPr>
              <w:widowControl/>
              <w:spacing w:line="400" w:lineRule="exact"/>
              <w:jc w:val="center"/>
              <w:rPr>
                <w:rFonts w:ascii="Times New Roman" w:hAnsi="Times New Roman" w:cs="Times New Roman"/>
                <w:bCs/>
                <w:sz w:val="24"/>
              </w:rPr>
            </w:pPr>
            <w:r>
              <w:rPr>
                <w:rFonts w:ascii="Times New Roman" w:hAnsi="Times New Roman" w:cs="Times New Roman"/>
                <w:bCs/>
                <w:sz w:val="24"/>
              </w:rPr>
              <w:t>20sec - 1min</w:t>
            </w:r>
            <w:r>
              <w:rPr>
                <w:rFonts w:ascii="Times New Roman" w:hAnsi="Times New Roman" w:cs="Times New Roman"/>
                <w:bCs/>
                <w:sz w:val="24"/>
              </w:rPr>
              <w:t>（采集荧光）</w:t>
            </w:r>
          </w:p>
        </w:tc>
        <w:tc>
          <w:tcPr>
            <w:tcW w:w="16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1A279C" w:rsidRDefault="001A279C">
            <w:pPr>
              <w:widowControl/>
              <w:spacing w:line="400" w:lineRule="exact"/>
              <w:jc w:val="center"/>
              <w:rPr>
                <w:rFonts w:ascii="Times New Roman" w:hAnsi="Times New Roman" w:cs="Times New Roman"/>
                <w:bCs/>
                <w:sz w:val="24"/>
              </w:rPr>
            </w:pPr>
          </w:p>
        </w:tc>
      </w:tr>
      <w:tr w:rsidR="001A279C">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rsidR="001A279C" w:rsidRDefault="00BC4357">
            <w:pPr>
              <w:widowControl/>
              <w:spacing w:line="400" w:lineRule="exact"/>
              <w:jc w:val="center"/>
              <w:rPr>
                <w:rFonts w:eastAsia="宋体" w:hAnsi="宋体" w:cs="宋体"/>
                <w:bCs/>
                <w:sz w:val="24"/>
              </w:rPr>
            </w:pPr>
            <w:r>
              <w:rPr>
                <w:rFonts w:hAnsi="宋体" w:cs="宋体" w:hint="eastAsia"/>
                <w:bCs/>
                <w:sz w:val="24"/>
              </w:rPr>
              <w:t>熔解曲线</w:t>
            </w:r>
          </w:p>
        </w:tc>
        <w:tc>
          <w:tcPr>
            <w:tcW w:w="2933" w:type="dxa"/>
            <w:tcBorders>
              <w:top w:val="single" w:sz="4" w:space="0" w:color="auto"/>
              <w:left w:val="single" w:sz="4" w:space="0" w:color="auto"/>
              <w:bottom w:val="single" w:sz="4" w:space="0" w:color="auto"/>
              <w:right w:val="single" w:sz="4" w:space="0" w:color="auto"/>
            </w:tcBorders>
            <w:shd w:val="clear" w:color="auto" w:fill="auto"/>
            <w:vAlign w:val="center"/>
          </w:tcPr>
          <w:p w:rsidR="001A279C" w:rsidRDefault="00BC4357">
            <w:pPr>
              <w:widowControl/>
              <w:spacing w:line="400" w:lineRule="exact"/>
              <w:jc w:val="center"/>
              <w:rPr>
                <w:rFonts w:hAnsi="宋体" w:cs="宋体"/>
                <w:bCs/>
                <w:sz w:val="24"/>
              </w:rPr>
            </w:pPr>
            <w:r>
              <w:rPr>
                <w:rFonts w:hAnsi="宋体" w:cs="宋体" w:hint="eastAsia"/>
                <w:bCs/>
                <w:sz w:val="24"/>
              </w:rPr>
              <w:t>—</w:t>
            </w:r>
          </w:p>
        </w:tc>
        <w:tc>
          <w:tcPr>
            <w:tcW w:w="2934" w:type="dxa"/>
            <w:tcBorders>
              <w:top w:val="single" w:sz="4" w:space="0" w:color="auto"/>
              <w:left w:val="single" w:sz="4" w:space="0" w:color="auto"/>
              <w:bottom w:val="single" w:sz="4" w:space="0" w:color="auto"/>
              <w:right w:val="single" w:sz="4" w:space="0" w:color="auto"/>
            </w:tcBorders>
            <w:shd w:val="clear" w:color="auto" w:fill="auto"/>
            <w:vAlign w:val="center"/>
          </w:tcPr>
          <w:p w:rsidR="001A279C" w:rsidRDefault="00BC4357">
            <w:pPr>
              <w:widowControl/>
              <w:spacing w:line="400" w:lineRule="exact"/>
              <w:jc w:val="center"/>
              <w:rPr>
                <w:rFonts w:hAnsi="宋体" w:cs="宋体"/>
                <w:bCs/>
                <w:sz w:val="24"/>
              </w:rPr>
            </w:pPr>
            <w:r>
              <w:rPr>
                <w:rFonts w:hAnsi="宋体" w:cs="宋体" w:hint="eastAsia"/>
                <w:bCs/>
                <w:sz w:val="24"/>
              </w:rPr>
              <w:t>—</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rsidR="001A279C" w:rsidRDefault="00BC4357">
            <w:pPr>
              <w:widowControl/>
              <w:spacing w:line="400" w:lineRule="exact"/>
              <w:jc w:val="center"/>
              <w:rPr>
                <w:rFonts w:eastAsia="宋体" w:hAnsi="宋体" w:cs="宋体"/>
                <w:bCs/>
                <w:sz w:val="24"/>
              </w:rPr>
            </w:pPr>
            <w:r>
              <w:rPr>
                <w:rFonts w:hAnsi="宋体" w:cs="宋体" w:hint="eastAsia"/>
                <w:bCs/>
                <w:sz w:val="24"/>
              </w:rPr>
              <w:t>—</w:t>
            </w:r>
          </w:p>
        </w:tc>
      </w:tr>
    </w:tbl>
    <w:p w:rsidR="001A279C" w:rsidRDefault="00BC4357">
      <w:pPr>
        <w:widowControl/>
        <w:autoSpaceDE w:val="0"/>
        <w:spacing w:line="360" w:lineRule="exact"/>
        <w:jc w:val="left"/>
        <w:rPr>
          <w:rFonts w:ascii="Times New Roman" w:eastAsia="宋体" w:hAnsi="Times New Roman" w:cs="Times New Roman"/>
          <w:kern w:val="0"/>
          <w:sz w:val="24"/>
          <w:lang w:bidi="ar"/>
        </w:rPr>
      </w:pPr>
      <w:r>
        <w:rPr>
          <w:rFonts w:ascii="Times New Roman" w:hAnsi="Times New Roman" w:cs="Times New Roman"/>
          <w:spacing w:val="-2"/>
          <w:szCs w:val="21"/>
        </w:rPr>
        <w:t>注：反应条件可以根据实际需求进行适当调整和优化</w:t>
      </w:r>
      <w:r>
        <w:rPr>
          <w:rFonts w:ascii="Times New Roman" w:hAnsi="Times New Roman" w:cs="Times New Roman" w:hint="eastAsia"/>
          <w:spacing w:val="-2"/>
          <w:szCs w:val="21"/>
        </w:rPr>
        <w:t>，熔解曲线程序根据所使用的扩增</w:t>
      </w:r>
      <w:proofErr w:type="gramStart"/>
      <w:r>
        <w:rPr>
          <w:rFonts w:ascii="Times New Roman" w:hAnsi="Times New Roman" w:cs="Times New Roman" w:hint="eastAsia"/>
          <w:spacing w:val="-2"/>
          <w:szCs w:val="21"/>
        </w:rPr>
        <w:t>仪程序</w:t>
      </w:r>
      <w:proofErr w:type="gramEnd"/>
      <w:r>
        <w:rPr>
          <w:rFonts w:ascii="Times New Roman" w:hAnsi="Times New Roman" w:cs="Times New Roman" w:hint="eastAsia"/>
          <w:spacing w:val="-2"/>
          <w:szCs w:val="21"/>
        </w:rPr>
        <w:t>进行适配选择</w:t>
      </w:r>
      <w:r>
        <w:rPr>
          <w:rFonts w:ascii="Times New Roman" w:hAnsi="Times New Roman" w:cs="Times New Roman"/>
          <w:spacing w:val="-2"/>
          <w:szCs w:val="21"/>
        </w:rPr>
        <w:t>。</w:t>
      </w:r>
    </w:p>
    <w:p w:rsidR="001A279C" w:rsidRDefault="00BC4357">
      <w:pPr>
        <w:widowControl/>
        <w:numPr>
          <w:ilvl w:val="0"/>
          <w:numId w:val="1"/>
        </w:numPr>
        <w:autoSpaceDE w:val="0"/>
        <w:spacing w:line="400" w:lineRule="exact"/>
        <w:ind w:firstLineChars="200" w:firstLine="480"/>
        <w:jc w:val="left"/>
        <w:rPr>
          <w:rFonts w:ascii="Times New Roman" w:eastAsia="宋体" w:hAnsi="Times New Roman" w:cs="Times New Roman"/>
          <w:kern w:val="0"/>
          <w:sz w:val="24"/>
          <w:lang w:bidi="ar"/>
        </w:rPr>
      </w:pPr>
      <w:r>
        <w:rPr>
          <w:rFonts w:ascii="Times New Roman" w:eastAsia="宋体" w:hAnsi="Times New Roman" w:cs="Times New Roman"/>
          <w:kern w:val="0"/>
          <w:sz w:val="24"/>
          <w:lang w:bidi="ar"/>
        </w:rPr>
        <w:t>反应结束后，对扩增曲线及熔解曲线结果进行分析。详细分析方法参见</w:t>
      </w:r>
      <w:r>
        <w:rPr>
          <w:rFonts w:ascii="Times New Roman" w:eastAsia="宋体" w:hAnsi="Times New Roman" w:cs="Times New Roman"/>
          <w:kern w:val="0"/>
          <w:sz w:val="24"/>
          <w:lang w:bidi="ar"/>
        </w:rPr>
        <w:t>Real Time PCR</w:t>
      </w:r>
      <w:r>
        <w:rPr>
          <w:rFonts w:ascii="Times New Roman" w:eastAsia="宋体" w:hAnsi="Times New Roman" w:cs="Times New Roman"/>
          <w:kern w:val="0"/>
          <w:sz w:val="24"/>
          <w:lang w:bidi="ar"/>
        </w:rPr>
        <w:t>扩增</w:t>
      </w:r>
      <w:proofErr w:type="gramStart"/>
      <w:r>
        <w:rPr>
          <w:rFonts w:ascii="Times New Roman" w:eastAsia="宋体" w:hAnsi="Times New Roman" w:cs="Times New Roman"/>
          <w:kern w:val="0"/>
          <w:sz w:val="24"/>
          <w:lang w:bidi="ar"/>
        </w:rPr>
        <w:t>仪操作</w:t>
      </w:r>
      <w:proofErr w:type="gramEnd"/>
      <w:r>
        <w:rPr>
          <w:rFonts w:ascii="Times New Roman" w:eastAsia="宋体" w:hAnsi="Times New Roman" w:cs="Times New Roman"/>
          <w:kern w:val="0"/>
          <w:sz w:val="24"/>
          <w:lang w:bidi="ar"/>
        </w:rPr>
        <w:t>手册。</w:t>
      </w:r>
      <w:r>
        <w:rPr>
          <w:rFonts w:ascii="Times New Roman" w:eastAsia="宋体" w:hAnsi="Times New Roman" w:cs="Times New Roman"/>
          <w:kern w:val="0"/>
          <w:sz w:val="24"/>
          <w:lang w:bidi="ar"/>
        </w:rPr>
        <w:t xml:space="preserve"> </w:t>
      </w:r>
    </w:p>
    <w:p w:rsidR="001A279C" w:rsidRDefault="00BC4357">
      <w:pPr>
        <w:widowControl/>
        <w:spacing w:beforeLines="50" w:before="156" w:line="360" w:lineRule="exact"/>
        <w:rPr>
          <w:rFonts w:ascii="Times New Roman" w:hAnsi="Times New Roman" w:cs="Times New Roman"/>
          <w:b/>
          <w:sz w:val="28"/>
          <w:szCs w:val="28"/>
        </w:rPr>
      </w:pPr>
      <w:r>
        <w:rPr>
          <w:rFonts w:ascii="Times New Roman" w:hAnsi="Times New Roman" w:cs="Times New Roman"/>
          <w:b/>
          <w:sz w:val="28"/>
          <w:szCs w:val="28"/>
        </w:rPr>
        <w:t>注意事项：</w:t>
      </w:r>
    </w:p>
    <w:p w:rsidR="001A279C" w:rsidRDefault="00BC4357">
      <w:pPr>
        <w:widowControl/>
        <w:numPr>
          <w:ilvl w:val="0"/>
          <w:numId w:val="2"/>
        </w:numPr>
        <w:autoSpaceDE w:val="0"/>
        <w:spacing w:line="400" w:lineRule="exact"/>
        <w:ind w:firstLineChars="200" w:firstLine="480"/>
        <w:rPr>
          <w:rFonts w:ascii="Times New Roman" w:eastAsia="宋体" w:hAnsi="Times New Roman" w:cs="Times New Roman"/>
          <w:bCs/>
          <w:sz w:val="24"/>
        </w:rPr>
      </w:pPr>
      <w:r>
        <w:rPr>
          <w:rFonts w:ascii="Times New Roman" w:eastAsia="宋体" w:hAnsi="Times New Roman" w:cs="Times New Roman"/>
          <w:kern w:val="0"/>
          <w:sz w:val="24"/>
          <w:lang w:bidi="ar"/>
        </w:rPr>
        <w:t>请根据引物选择合适的退火（延伸）温度，通常引物的</w:t>
      </w:r>
      <w:r>
        <w:rPr>
          <w:rFonts w:ascii="Times New Roman" w:eastAsia="宋体" w:hAnsi="Times New Roman" w:cs="Times New Roman"/>
          <w:kern w:val="0"/>
          <w:sz w:val="24"/>
          <w:lang w:bidi="ar"/>
        </w:rPr>
        <w:t>T</w:t>
      </w:r>
      <w:r>
        <w:rPr>
          <w:rFonts w:ascii="Times New Roman" w:eastAsia="宋体" w:hAnsi="Times New Roman" w:cs="Times New Roman" w:hint="eastAsia"/>
          <w:kern w:val="0"/>
          <w:sz w:val="24"/>
          <w:lang w:bidi="ar"/>
        </w:rPr>
        <w:t>m</w:t>
      </w:r>
      <w:proofErr w:type="gramStart"/>
      <w:r>
        <w:rPr>
          <w:rFonts w:ascii="Times New Roman" w:eastAsia="宋体" w:hAnsi="Times New Roman" w:cs="Times New Roman"/>
          <w:kern w:val="0"/>
          <w:sz w:val="24"/>
          <w:lang w:bidi="ar"/>
        </w:rPr>
        <w:t>值设计</w:t>
      </w:r>
      <w:proofErr w:type="gramEnd"/>
      <w:r>
        <w:rPr>
          <w:rFonts w:ascii="Times New Roman" w:eastAsia="宋体" w:hAnsi="Times New Roman" w:cs="Times New Roman"/>
          <w:kern w:val="0"/>
          <w:sz w:val="24"/>
          <w:lang w:bidi="ar"/>
        </w:rPr>
        <w:t>在</w:t>
      </w:r>
      <w:r>
        <w:rPr>
          <w:rFonts w:ascii="Times New Roman" w:eastAsia="宋体" w:hAnsi="Times New Roman" w:cs="Times New Roman"/>
          <w:kern w:val="0"/>
          <w:sz w:val="24"/>
          <w:lang w:bidi="ar"/>
        </w:rPr>
        <w:t>60℃</w:t>
      </w:r>
      <w:r>
        <w:rPr>
          <w:rFonts w:ascii="Times New Roman" w:eastAsia="宋体" w:hAnsi="Times New Roman" w:cs="Times New Roman"/>
          <w:kern w:val="0"/>
          <w:sz w:val="24"/>
          <w:lang w:bidi="ar"/>
        </w:rPr>
        <w:t>左右；</w:t>
      </w:r>
      <w:r>
        <w:rPr>
          <w:rFonts w:ascii="Times New Roman" w:eastAsia="宋体" w:hAnsi="Times New Roman" w:cs="Times New Roman"/>
          <w:bCs/>
          <w:kern w:val="0"/>
          <w:sz w:val="24"/>
          <w:lang w:bidi="ar"/>
        </w:rPr>
        <w:t>对于退火温度较低的引物，建议采用三步法；使用的引物终浓度可在</w:t>
      </w:r>
      <w:r>
        <w:rPr>
          <w:rFonts w:ascii="Times New Roman" w:eastAsia="宋体" w:hAnsi="Times New Roman" w:cs="Times New Roman"/>
          <w:bCs/>
          <w:kern w:val="0"/>
          <w:sz w:val="24"/>
          <w:lang w:bidi="ar"/>
        </w:rPr>
        <w:t>0.2</w:t>
      </w:r>
      <w:r>
        <w:rPr>
          <w:rFonts w:ascii="Times New Roman" w:eastAsia="宋体" w:hAnsi="Times New Roman" w:cs="Times New Roman" w:hint="eastAsia"/>
          <w:bCs/>
          <w:kern w:val="0"/>
          <w:sz w:val="24"/>
          <w:lang w:bidi="ar"/>
        </w:rPr>
        <w:t>-</w:t>
      </w:r>
      <w:r>
        <w:rPr>
          <w:rFonts w:ascii="Times New Roman" w:eastAsia="宋体" w:hAnsi="Times New Roman" w:cs="Times New Roman"/>
          <w:bCs/>
          <w:kern w:val="0"/>
          <w:sz w:val="24"/>
          <w:lang w:bidi="ar"/>
        </w:rPr>
        <w:t>1.0</w:t>
      </w:r>
      <w:r>
        <w:rPr>
          <w:rFonts w:ascii="Times New Roman" w:eastAsia="宋体" w:hAnsi="Times New Roman" w:cs="Times New Roman"/>
          <w:kern w:val="0"/>
          <w:sz w:val="24"/>
          <w:lang w:bidi="ar"/>
        </w:rPr>
        <w:t>μ</w:t>
      </w:r>
      <w:r>
        <w:rPr>
          <w:rFonts w:ascii="Times New Roman" w:eastAsia="宋体" w:hAnsi="Times New Roman" w:cs="Times New Roman"/>
          <w:bCs/>
          <w:kern w:val="0"/>
          <w:sz w:val="24"/>
          <w:lang w:bidi="ar"/>
        </w:rPr>
        <w:t>M</w:t>
      </w:r>
      <w:r>
        <w:rPr>
          <w:rFonts w:ascii="Times New Roman" w:eastAsia="宋体" w:hAnsi="Times New Roman" w:cs="Times New Roman"/>
          <w:bCs/>
          <w:kern w:val="0"/>
          <w:sz w:val="24"/>
          <w:lang w:bidi="ar"/>
        </w:rPr>
        <w:t>范围内调整；</w:t>
      </w:r>
      <w:r>
        <w:rPr>
          <w:rFonts w:ascii="Times New Roman" w:eastAsia="宋体" w:hAnsi="Times New Roman" w:cs="Times New Roman"/>
          <w:bCs/>
          <w:kern w:val="0"/>
          <w:sz w:val="24"/>
          <w:lang w:bidi="ar"/>
        </w:rPr>
        <w:t>DNA</w:t>
      </w:r>
      <w:r>
        <w:rPr>
          <w:rFonts w:ascii="Times New Roman" w:eastAsia="宋体" w:hAnsi="Times New Roman" w:cs="Times New Roman"/>
          <w:bCs/>
          <w:kern w:val="0"/>
          <w:sz w:val="24"/>
          <w:lang w:bidi="ar"/>
        </w:rPr>
        <w:t>模板可根据浓度进行适当调整。</w:t>
      </w:r>
      <w:r>
        <w:rPr>
          <w:rFonts w:ascii="Times New Roman" w:eastAsia="宋体" w:hAnsi="Times New Roman" w:cs="Times New Roman"/>
          <w:bCs/>
          <w:kern w:val="0"/>
          <w:sz w:val="24"/>
          <w:lang w:bidi="ar"/>
        </w:rPr>
        <w:t xml:space="preserve"> </w:t>
      </w:r>
    </w:p>
    <w:p w:rsidR="001A279C" w:rsidRDefault="00BC4357">
      <w:pPr>
        <w:widowControl/>
        <w:numPr>
          <w:ilvl w:val="0"/>
          <w:numId w:val="2"/>
        </w:numPr>
        <w:autoSpaceDE w:val="0"/>
        <w:spacing w:line="400" w:lineRule="exact"/>
        <w:ind w:firstLineChars="200" w:firstLine="480"/>
        <w:rPr>
          <w:rFonts w:ascii="Times New Roman" w:eastAsia="宋体" w:hAnsi="Times New Roman" w:cs="Times New Roman"/>
          <w:kern w:val="0"/>
          <w:sz w:val="24"/>
          <w:lang w:bidi="ar"/>
        </w:rPr>
      </w:pPr>
      <w:r>
        <w:rPr>
          <w:rFonts w:ascii="Times New Roman" w:eastAsia="宋体" w:hAnsi="Times New Roman" w:cs="Times New Roman"/>
          <w:kern w:val="0"/>
          <w:sz w:val="24"/>
          <w:lang w:bidi="ar"/>
        </w:rPr>
        <w:t xml:space="preserve">SYBR Green </w:t>
      </w:r>
      <w:r>
        <w:rPr>
          <w:rFonts w:ascii="Times New Roman" w:eastAsia="宋体" w:hAnsi="Times New Roman" w:cs="Times New Roman"/>
          <w:kern w:val="0"/>
          <w:sz w:val="24"/>
          <w:lang w:bidi="ar"/>
        </w:rPr>
        <w:t>I</w:t>
      </w:r>
      <w:r>
        <w:rPr>
          <w:rFonts w:ascii="Times New Roman" w:eastAsia="宋体" w:hAnsi="Times New Roman" w:cs="Times New Roman"/>
          <w:kern w:val="0"/>
          <w:sz w:val="24"/>
          <w:lang w:bidi="ar"/>
        </w:rPr>
        <w:t>染料是非特异性染料，可与双链</w:t>
      </w:r>
      <w:r>
        <w:rPr>
          <w:rFonts w:ascii="Times New Roman" w:eastAsia="宋体" w:hAnsi="Times New Roman" w:cs="Times New Roman"/>
          <w:kern w:val="0"/>
          <w:sz w:val="24"/>
          <w:lang w:bidi="ar"/>
        </w:rPr>
        <w:t>DNA</w:t>
      </w:r>
      <w:r>
        <w:rPr>
          <w:rFonts w:ascii="Times New Roman" w:eastAsia="宋体" w:hAnsi="Times New Roman" w:cs="Times New Roman"/>
          <w:kern w:val="0"/>
          <w:sz w:val="24"/>
          <w:lang w:bidi="ar"/>
        </w:rPr>
        <w:t>（</w:t>
      </w:r>
      <w:r>
        <w:rPr>
          <w:rFonts w:ascii="Times New Roman" w:eastAsia="宋体" w:hAnsi="Times New Roman" w:cs="Times New Roman"/>
          <w:kern w:val="0"/>
          <w:sz w:val="24"/>
          <w:lang w:bidi="ar"/>
        </w:rPr>
        <w:t>dsDNA</w:t>
      </w:r>
      <w:r>
        <w:rPr>
          <w:rFonts w:ascii="Times New Roman" w:eastAsia="宋体" w:hAnsi="Times New Roman" w:cs="Times New Roman"/>
          <w:kern w:val="0"/>
          <w:sz w:val="24"/>
          <w:lang w:bidi="ar"/>
        </w:rPr>
        <w:t>）结合后发出荧光，同时其强光下易分解，因此在设计引物时需要尽量避免引物二聚体的产生，使用时避免长时间强光照射，以提高检测结果准确性、灵敏度及特异性。</w:t>
      </w:r>
    </w:p>
    <w:p w:rsidR="001A279C" w:rsidRDefault="00BC4357">
      <w:pPr>
        <w:widowControl/>
        <w:numPr>
          <w:ilvl w:val="0"/>
          <w:numId w:val="2"/>
        </w:numPr>
        <w:autoSpaceDE w:val="0"/>
        <w:spacing w:line="400" w:lineRule="exact"/>
        <w:ind w:firstLineChars="200" w:firstLine="480"/>
        <w:rPr>
          <w:rFonts w:ascii="Times New Roman" w:eastAsia="宋体" w:hAnsi="Times New Roman" w:cs="Times New Roman"/>
          <w:kern w:val="0"/>
          <w:sz w:val="24"/>
          <w:lang w:bidi="ar"/>
        </w:rPr>
      </w:pPr>
      <w:r>
        <w:rPr>
          <w:rFonts w:ascii="Times New Roman" w:eastAsia="宋体" w:hAnsi="Times New Roman" w:cs="Times New Roman"/>
          <w:kern w:val="0"/>
          <w:sz w:val="24"/>
          <w:lang w:bidi="ar"/>
        </w:rPr>
        <w:t>提高镁离子浓度可以降低</w:t>
      </w:r>
      <w:r>
        <w:rPr>
          <w:rFonts w:ascii="Times New Roman" w:eastAsia="宋体" w:hAnsi="Times New Roman" w:cs="Times New Roman"/>
          <w:kern w:val="0"/>
          <w:sz w:val="24"/>
          <w:lang w:bidi="ar"/>
        </w:rPr>
        <w:t>SYBR Green I</w:t>
      </w:r>
      <w:r>
        <w:rPr>
          <w:rFonts w:ascii="Times New Roman" w:eastAsia="宋体" w:hAnsi="Times New Roman" w:cs="Times New Roman"/>
          <w:kern w:val="0"/>
          <w:sz w:val="24"/>
          <w:lang w:bidi="ar"/>
        </w:rPr>
        <w:t>对</w:t>
      </w:r>
      <w:r>
        <w:rPr>
          <w:rFonts w:ascii="Times New Roman" w:eastAsia="宋体" w:hAnsi="Times New Roman" w:cs="Times New Roman"/>
          <w:kern w:val="0"/>
          <w:sz w:val="24"/>
          <w:lang w:bidi="ar"/>
        </w:rPr>
        <w:t>PCR</w:t>
      </w:r>
      <w:r>
        <w:rPr>
          <w:rFonts w:ascii="Times New Roman" w:eastAsia="宋体" w:hAnsi="Times New Roman" w:cs="Times New Roman"/>
          <w:kern w:val="0"/>
          <w:sz w:val="24"/>
          <w:lang w:bidi="ar"/>
        </w:rPr>
        <w:t>反应的抑制作用，建议在使用本产品进行荧光</w:t>
      </w:r>
      <w:r>
        <w:rPr>
          <w:rFonts w:ascii="Times New Roman" w:eastAsia="宋体" w:hAnsi="Times New Roman" w:cs="Times New Roman"/>
          <w:kern w:val="0"/>
          <w:sz w:val="24"/>
          <w:lang w:bidi="ar"/>
        </w:rPr>
        <w:t>PCR</w:t>
      </w:r>
      <w:r>
        <w:rPr>
          <w:rFonts w:ascii="Times New Roman" w:eastAsia="宋体" w:hAnsi="Times New Roman" w:cs="Times New Roman"/>
          <w:kern w:val="0"/>
          <w:sz w:val="24"/>
          <w:lang w:bidi="ar"/>
        </w:rPr>
        <w:t>反应优化时，可适当增加镁离子浓度（比普通</w:t>
      </w:r>
      <w:r>
        <w:rPr>
          <w:rFonts w:ascii="Times New Roman" w:eastAsia="宋体" w:hAnsi="Times New Roman" w:cs="Times New Roman"/>
          <w:kern w:val="0"/>
          <w:sz w:val="24"/>
          <w:lang w:bidi="ar"/>
        </w:rPr>
        <w:t>PCR</w:t>
      </w:r>
      <w:r>
        <w:rPr>
          <w:rFonts w:ascii="Times New Roman" w:eastAsia="宋体" w:hAnsi="Times New Roman" w:cs="Times New Roman"/>
          <w:kern w:val="0"/>
          <w:sz w:val="24"/>
          <w:lang w:bidi="ar"/>
        </w:rPr>
        <w:t>反应高出</w:t>
      </w:r>
      <w:r>
        <w:rPr>
          <w:rFonts w:ascii="Times New Roman" w:eastAsia="宋体" w:hAnsi="Times New Roman" w:cs="Times New Roman"/>
          <w:kern w:val="0"/>
          <w:sz w:val="24"/>
          <w:lang w:bidi="ar"/>
        </w:rPr>
        <w:t>0.5-3.0mM</w:t>
      </w:r>
      <w:r>
        <w:rPr>
          <w:rFonts w:ascii="Times New Roman" w:eastAsia="宋体" w:hAnsi="Times New Roman" w:cs="Times New Roman"/>
          <w:kern w:val="0"/>
          <w:sz w:val="24"/>
          <w:lang w:bidi="ar"/>
        </w:rPr>
        <w:t>）。</w:t>
      </w:r>
    </w:p>
    <w:p w:rsidR="001A279C" w:rsidRDefault="00BC4357">
      <w:pPr>
        <w:widowControl/>
        <w:numPr>
          <w:ilvl w:val="0"/>
          <w:numId w:val="2"/>
        </w:numPr>
        <w:autoSpaceDE w:val="0"/>
        <w:spacing w:line="400" w:lineRule="exact"/>
        <w:ind w:firstLineChars="200" w:firstLine="480"/>
        <w:rPr>
          <w:rFonts w:ascii="Times New Roman" w:hAnsi="Times New Roman" w:cs="Times New Roman"/>
        </w:rPr>
      </w:pPr>
      <w:r>
        <w:rPr>
          <w:rFonts w:ascii="Times New Roman" w:eastAsia="宋体" w:hAnsi="Times New Roman" w:cs="Times New Roman"/>
          <w:kern w:val="0"/>
          <w:sz w:val="24"/>
          <w:lang w:bidi="ar"/>
        </w:rPr>
        <w:t>扩增前后要使用专用的区域和</w:t>
      </w:r>
      <w:proofErr w:type="gramStart"/>
      <w:r>
        <w:rPr>
          <w:rFonts w:ascii="Times New Roman" w:eastAsia="宋体" w:hAnsi="Times New Roman" w:cs="Times New Roman"/>
          <w:kern w:val="0"/>
          <w:sz w:val="24"/>
          <w:lang w:bidi="ar"/>
        </w:rPr>
        <w:t>移液</w:t>
      </w:r>
      <w:proofErr w:type="gramEnd"/>
      <w:r>
        <w:rPr>
          <w:rFonts w:ascii="Times New Roman" w:eastAsia="宋体" w:hAnsi="Times New Roman" w:cs="Times New Roman"/>
          <w:kern w:val="0"/>
          <w:sz w:val="24"/>
          <w:lang w:bidi="ar"/>
        </w:rPr>
        <w:t>器，戴手套操作并经常更换，</w:t>
      </w:r>
      <w:r>
        <w:rPr>
          <w:rFonts w:ascii="Times New Roman" w:eastAsia="宋体" w:hAnsi="Times New Roman" w:cs="Times New Roman"/>
          <w:kern w:val="0"/>
          <w:sz w:val="24"/>
          <w:lang w:bidi="ar"/>
        </w:rPr>
        <w:t>PCR</w:t>
      </w:r>
      <w:r>
        <w:rPr>
          <w:rFonts w:ascii="Times New Roman" w:eastAsia="宋体" w:hAnsi="Times New Roman" w:cs="Times New Roman"/>
          <w:kern w:val="0"/>
          <w:sz w:val="24"/>
          <w:lang w:bidi="ar"/>
        </w:rPr>
        <w:t>反应完成后切勿打开反应管。以最大限度的减少</w:t>
      </w:r>
      <w:r>
        <w:rPr>
          <w:rFonts w:ascii="Times New Roman" w:eastAsia="宋体" w:hAnsi="Times New Roman" w:cs="Times New Roman"/>
          <w:kern w:val="0"/>
          <w:sz w:val="24"/>
          <w:lang w:bidi="ar"/>
        </w:rPr>
        <w:t>PCR</w:t>
      </w:r>
      <w:r>
        <w:rPr>
          <w:rFonts w:ascii="Times New Roman" w:eastAsia="宋体" w:hAnsi="Times New Roman" w:cs="Times New Roman"/>
          <w:kern w:val="0"/>
          <w:sz w:val="24"/>
          <w:lang w:bidi="ar"/>
        </w:rPr>
        <w:t>产物对检测环境的污染。</w:t>
      </w:r>
    </w:p>
    <w:sectPr w:rsidR="001A279C">
      <w:headerReference w:type="default" r:id="rId8"/>
      <w:pgSz w:w="11906" w:h="16838"/>
      <w:pgMar w:top="1440" w:right="1080" w:bottom="1134"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357" w:rsidRDefault="00BC4357">
      <w:r>
        <w:separator/>
      </w:r>
    </w:p>
  </w:endnote>
  <w:endnote w:type="continuationSeparator" w:id="0">
    <w:p w:rsidR="00BC4357" w:rsidRDefault="00BC4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357" w:rsidRDefault="00BC4357">
      <w:r>
        <w:separator/>
      </w:r>
    </w:p>
  </w:footnote>
  <w:footnote w:type="continuationSeparator" w:id="0">
    <w:p w:rsidR="00BC4357" w:rsidRDefault="00BC43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79C" w:rsidRDefault="00BC4357">
    <w:pPr>
      <w:pStyle w:val="a5"/>
    </w:pPr>
    <w:r>
      <w:rPr>
        <w:noProof/>
        <w:sz w:val="20"/>
      </w:rPr>
      <w:drawing>
        <wp:anchor distT="0" distB="0" distL="114300" distR="114300" simplePos="0" relativeHeight="251659264" behindDoc="1" locked="0" layoutInCell="1" allowOverlap="1">
          <wp:simplePos x="0" y="0"/>
          <wp:positionH relativeFrom="column">
            <wp:posOffset>-685800</wp:posOffset>
          </wp:positionH>
          <wp:positionV relativeFrom="page">
            <wp:posOffset>71120</wp:posOffset>
          </wp:positionV>
          <wp:extent cx="7555230" cy="793750"/>
          <wp:effectExtent l="0" t="0" r="7620" b="6350"/>
          <wp:wrapThrough wrapText="bothSides">
            <wp:wrapPolygon edited="0">
              <wp:start x="0" y="0"/>
              <wp:lineTo x="0" y="21254"/>
              <wp:lineTo x="21567" y="21254"/>
              <wp:lineTo x="21567" y="0"/>
              <wp:lineTo x="0" y="0"/>
            </wp:wrapPolygon>
          </wp:wrapThrough>
          <wp:docPr id="9" name="图片 9" descr="C:\Users\zyy\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zyy\Desktop\图片1.png图片1"/>
                  <pic:cNvPicPr>
                    <a:picLocks noChangeAspect="1" noChangeArrowheads="1"/>
                  </pic:cNvPicPr>
                </pic:nvPicPr>
                <pic:blipFill>
                  <a:blip r:embed="rId1"/>
                  <a:srcRect/>
                  <a:stretch>
                    <a:fillRect/>
                  </a:stretch>
                </pic:blipFill>
                <pic:spPr>
                  <a:xfrm>
                    <a:off x="0" y="0"/>
                    <a:ext cx="7555230" cy="793750"/>
                  </a:xfrm>
                  <a:prstGeom prst="rect">
                    <a:avLst/>
                  </a:prstGeom>
                  <a:noFill/>
                  <a:ln cap="flat">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5B424F"/>
    <w:multiLevelType w:val="singleLevel"/>
    <w:tmpl w:val="E25B424F"/>
    <w:lvl w:ilvl="0">
      <w:start w:val="1"/>
      <w:numFmt w:val="decimal"/>
      <w:suff w:val="space"/>
      <w:lvlText w:val="%1."/>
      <w:lvlJc w:val="left"/>
    </w:lvl>
  </w:abstractNum>
  <w:abstractNum w:abstractNumId="1">
    <w:nsid w:val="446C64CC"/>
    <w:multiLevelType w:val="singleLevel"/>
    <w:tmpl w:val="446C64CC"/>
    <w:lvl w:ilvl="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lODBiYjFlYzhlZDA3NjU0NzIyMDc1NDI3NTFhMTIifQ=="/>
  </w:docVars>
  <w:rsids>
    <w:rsidRoot w:val="001A279C"/>
    <w:rsid w:val="0001666B"/>
    <w:rsid w:val="000A71EE"/>
    <w:rsid w:val="001A279C"/>
    <w:rsid w:val="00BC4357"/>
    <w:rsid w:val="012074A4"/>
    <w:rsid w:val="01730D53"/>
    <w:rsid w:val="0239547A"/>
    <w:rsid w:val="03372B16"/>
    <w:rsid w:val="04674A3A"/>
    <w:rsid w:val="05410FC1"/>
    <w:rsid w:val="071B4C37"/>
    <w:rsid w:val="091B4E56"/>
    <w:rsid w:val="09B46D46"/>
    <w:rsid w:val="09FB2368"/>
    <w:rsid w:val="0C525237"/>
    <w:rsid w:val="0CA56122"/>
    <w:rsid w:val="0CA8167A"/>
    <w:rsid w:val="0CB50662"/>
    <w:rsid w:val="0CD17F9E"/>
    <w:rsid w:val="0D0E70DF"/>
    <w:rsid w:val="0D5F45D9"/>
    <w:rsid w:val="0E245572"/>
    <w:rsid w:val="0E2E0248"/>
    <w:rsid w:val="0F8A7463"/>
    <w:rsid w:val="105B0C8D"/>
    <w:rsid w:val="10AF663F"/>
    <w:rsid w:val="10E72496"/>
    <w:rsid w:val="125123E7"/>
    <w:rsid w:val="13884819"/>
    <w:rsid w:val="138B2994"/>
    <w:rsid w:val="162F2FEE"/>
    <w:rsid w:val="16B05F19"/>
    <w:rsid w:val="19AC71F3"/>
    <w:rsid w:val="1A044257"/>
    <w:rsid w:val="1A2F0966"/>
    <w:rsid w:val="1A374A56"/>
    <w:rsid w:val="1AB04381"/>
    <w:rsid w:val="1F320CD8"/>
    <w:rsid w:val="1FF63B2C"/>
    <w:rsid w:val="202478AD"/>
    <w:rsid w:val="20721031"/>
    <w:rsid w:val="21510342"/>
    <w:rsid w:val="21A00317"/>
    <w:rsid w:val="22556D6A"/>
    <w:rsid w:val="2771308E"/>
    <w:rsid w:val="285B6C5C"/>
    <w:rsid w:val="29460347"/>
    <w:rsid w:val="29CA60A8"/>
    <w:rsid w:val="2BFE3231"/>
    <w:rsid w:val="324056DF"/>
    <w:rsid w:val="34766DCF"/>
    <w:rsid w:val="35447F8D"/>
    <w:rsid w:val="358D0F0B"/>
    <w:rsid w:val="35F068AA"/>
    <w:rsid w:val="37340F35"/>
    <w:rsid w:val="377F1F6E"/>
    <w:rsid w:val="38001118"/>
    <w:rsid w:val="39BF14F6"/>
    <w:rsid w:val="3AE15F1B"/>
    <w:rsid w:val="3AEE7586"/>
    <w:rsid w:val="3B5B0F3E"/>
    <w:rsid w:val="3BF7185A"/>
    <w:rsid w:val="3D3F5603"/>
    <w:rsid w:val="3F435BC1"/>
    <w:rsid w:val="3FD71FD3"/>
    <w:rsid w:val="3FDD2148"/>
    <w:rsid w:val="40787B48"/>
    <w:rsid w:val="408B354F"/>
    <w:rsid w:val="438F528D"/>
    <w:rsid w:val="448B4882"/>
    <w:rsid w:val="457544F5"/>
    <w:rsid w:val="49F80122"/>
    <w:rsid w:val="4B4711F0"/>
    <w:rsid w:val="4B485BA6"/>
    <w:rsid w:val="4DA0397A"/>
    <w:rsid w:val="4EB45736"/>
    <w:rsid w:val="4EDD569B"/>
    <w:rsid w:val="4EDD5EE3"/>
    <w:rsid w:val="4F150182"/>
    <w:rsid w:val="4FA77519"/>
    <w:rsid w:val="519D1BB8"/>
    <w:rsid w:val="51DD405E"/>
    <w:rsid w:val="53277CA7"/>
    <w:rsid w:val="542B4307"/>
    <w:rsid w:val="54710F99"/>
    <w:rsid w:val="54B94DA4"/>
    <w:rsid w:val="55F84612"/>
    <w:rsid w:val="57034A09"/>
    <w:rsid w:val="58D32749"/>
    <w:rsid w:val="5AC86291"/>
    <w:rsid w:val="5B783B11"/>
    <w:rsid w:val="5D7C065F"/>
    <w:rsid w:val="5D8114B1"/>
    <w:rsid w:val="5EB46D84"/>
    <w:rsid w:val="5ECA0EDF"/>
    <w:rsid w:val="604663A9"/>
    <w:rsid w:val="61071063"/>
    <w:rsid w:val="61B943D3"/>
    <w:rsid w:val="635973E4"/>
    <w:rsid w:val="65605ABA"/>
    <w:rsid w:val="66AE3D8B"/>
    <w:rsid w:val="67E8720F"/>
    <w:rsid w:val="68283A50"/>
    <w:rsid w:val="68EE777B"/>
    <w:rsid w:val="6918002D"/>
    <w:rsid w:val="6DB723DB"/>
    <w:rsid w:val="6E6D05A9"/>
    <w:rsid w:val="6EF566F9"/>
    <w:rsid w:val="6F3D4C92"/>
    <w:rsid w:val="6F7C2F7F"/>
    <w:rsid w:val="708446DD"/>
    <w:rsid w:val="71FD3196"/>
    <w:rsid w:val="720A3845"/>
    <w:rsid w:val="72924FE4"/>
    <w:rsid w:val="7521355C"/>
    <w:rsid w:val="7B4E45C4"/>
    <w:rsid w:val="7BCF7EF3"/>
    <w:rsid w:val="7CC145C3"/>
    <w:rsid w:val="7EAB124C"/>
    <w:rsid w:val="7EE126E3"/>
    <w:rsid w:val="7EF62CF7"/>
    <w:rsid w:val="7F252EE6"/>
    <w:rsid w:val="7F664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7"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1"/>
    <w:qFormat/>
    <w:pPr>
      <w:ind w:left="160"/>
      <w:outlineLvl w:val="0"/>
    </w:pPr>
    <w:rPr>
      <w:rFonts w:ascii="微软雅黑" w:eastAsia="微软雅黑" w:hAnsi="微软雅黑" w:cs="微软雅黑"/>
      <w:b/>
      <w:bCs/>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Body Text"/>
    <w:basedOn w:val="a"/>
    <w:uiPriority w:val="1"/>
    <w:qFormat/>
    <w:pPr>
      <w:spacing w:before="54"/>
    </w:pPr>
    <w:rPr>
      <w:rFonts w:ascii="PMingLiU" w:eastAsia="PMingLiU" w:hAnsi="PMingLiU" w:cs="PMingLiU"/>
      <w:szCs w:val="21"/>
      <w:lang w:eastAsia="en-US" w:bidi="en-US"/>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uiPriority w:val="37"/>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a7">
    <w:name w:val="Strong"/>
    <w:basedOn w:val="a0"/>
    <w:qFormat/>
    <w:rPr>
      <w:b/>
    </w:rPr>
  </w:style>
  <w:style w:type="character" w:styleId="a8">
    <w:name w:val="Emphasis"/>
    <w:basedOn w:val="a0"/>
    <w:qFormat/>
    <w:rPr>
      <w:i/>
    </w:rPr>
  </w:style>
  <w:style w:type="paragraph" w:styleId="a9">
    <w:name w:val="List Paragraph"/>
    <w:basedOn w:val="a"/>
    <w:uiPriority w:val="1"/>
    <w:qFormat/>
    <w:pPr>
      <w:spacing w:before="54"/>
      <w:ind w:left="534" w:hanging="432"/>
    </w:pPr>
    <w:rPr>
      <w:rFonts w:ascii="PMingLiU" w:eastAsia="PMingLiU" w:hAnsi="PMingLiU" w:cs="PMingLiU"/>
      <w:lang w:eastAsia="en-US" w:bidi="en-US"/>
    </w:rPr>
  </w:style>
  <w:style w:type="table" w:customStyle="1" w:styleId="TableNormal">
    <w:name w:val="Table Normal"/>
    <w:semiHidden/>
    <w:unhideWhenUsed/>
    <w:qFormat/>
    <w:tblPr>
      <w:tblCellMar>
        <w:top w:w="0" w:type="dxa"/>
        <w:left w:w="0" w:type="dxa"/>
        <w:bottom w:w="0" w:type="dxa"/>
        <w:right w:w="0" w:type="dxa"/>
      </w:tblCellMar>
    </w:tblPr>
    <w:trPr>
      <w:hidden/>
    </w:t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7"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1"/>
    <w:qFormat/>
    <w:pPr>
      <w:ind w:left="160"/>
      <w:outlineLvl w:val="0"/>
    </w:pPr>
    <w:rPr>
      <w:rFonts w:ascii="微软雅黑" w:eastAsia="微软雅黑" w:hAnsi="微软雅黑" w:cs="微软雅黑"/>
      <w:b/>
      <w:bCs/>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Body Text"/>
    <w:basedOn w:val="a"/>
    <w:uiPriority w:val="1"/>
    <w:qFormat/>
    <w:pPr>
      <w:spacing w:before="54"/>
    </w:pPr>
    <w:rPr>
      <w:rFonts w:ascii="PMingLiU" w:eastAsia="PMingLiU" w:hAnsi="PMingLiU" w:cs="PMingLiU"/>
      <w:szCs w:val="21"/>
      <w:lang w:eastAsia="en-US" w:bidi="en-US"/>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uiPriority w:val="37"/>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a7">
    <w:name w:val="Strong"/>
    <w:basedOn w:val="a0"/>
    <w:qFormat/>
    <w:rPr>
      <w:b/>
    </w:rPr>
  </w:style>
  <w:style w:type="character" w:styleId="a8">
    <w:name w:val="Emphasis"/>
    <w:basedOn w:val="a0"/>
    <w:qFormat/>
    <w:rPr>
      <w:i/>
    </w:rPr>
  </w:style>
  <w:style w:type="paragraph" w:styleId="a9">
    <w:name w:val="List Paragraph"/>
    <w:basedOn w:val="a"/>
    <w:uiPriority w:val="1"/>
    <w:qFormat/>
    <w:pPr>
      <w:spacing w:before="54"/>
      <w:ind w:left="534" w:hanging="432"/>
    </w:pPr>
    <w:rPr>
      <w:rFonts w:ascii="PMingLiU" w:eastAsia="PMingLiU" w:hAnsi="PMingLiU" w:cs="PMingLiU"/>
      <w:lang w:eastAsia="en-US" w:bidi="en-US"/>
    </w:rPr>
  </w:style>
  <w:style w:type="table" w:customStyle="1" w:styleId="TableNormal">
    <w:name w:val="Table Normal"/>
    <w:semiHidden/>
    <w:unhideWhenUsed/>
    <w:qFormat/>
    <w:tblPr>
      <w:tblCellMar>
        <w:top w:w="0" w:type="dxa"/>
        <w:left w:w="0" w:type="dxa"/>
        <w:bottom w:w="0" w:type="dxa"/>
        <w:right w:w="0" w:type="dxa"/>
      </w:tblCellMar>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322</Words>
  <Characters>1839</Characters>
  <Application>Microsoft Office Word</Application>
  <DocSecurity>0</DocSecurity>
  <Lines>15</Lines>
  <Paragraphs>4</Paragraphs>
  <ScaleCrop>false</ScaleCrop>
  <Company/>
  <LinksUpToDate>false</LinksUpToDate>
  <CharactersWithSpaces>2157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Q1000</dc:creator>
  <cp:lastModifiedBy>acer</cp:lastModifiedBy>
  <cp:revision>2</cp:revision>
  <cp:lastPrinted>2022-11-01T06:51:00Z</cp:lastPrinted>
  <dcterms:created xsi:type="dcterms:W3CDTF">2020-07-28T01:52:00Z</dcterms:created>
  <dcterms:modified xsi:type="dcterms:W3CDTF">2023-11-27T09:45:00Z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1E0AAE0EF750404C9369AD27F9F20C4C</vt:lpwstr>
  </property>
</Properties>
</file>