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8D" w:rsidRDefault="00FE358D">
      <w:pPr>
        <w:rPr>
          <w:rFonts w:ascii="Times New Roman" w:hAnsi="Times New Roman" w:cs="Times New Roman"/>
          <w:vanish/>
          <w:sz w:val="24"/>
        </w:rPr>
      </w:pPr>
    </w:p>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FE358D">
        <w:trPr>
          <w:trHeight w:val="412"/>
          <w:jc w:val="center"/>
        </w:trPr>
        <w:tc>
          <w:tcPr>
            <w:tcW w:w="10140" w:type="dxa"/>
            <w:tcBorders>
              <w:tl2br w:val="nil"/>
              <w:tr2bl w:val="nil"/>
            </w:tcBorders>
          </w:tcPr>
          <w:p w:rsidR="00FE358D" w:rsidRDefault="00453CED">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FE358D" w:rsidRDefault="00453CED" w:rsidP="00983F8C">
      <w:pPr>
        <w:spacing w:beforeLines="50" w:before="156" w:afterLines="50" w:after="156" w:line="400" w:lineRule="exact"/>
        <w:jc w:val="center"/>
        <w:rPr>
          <w:rFonts w:ascii="Times New Roman" w:eastAsia="微软雅黑" w:hAnsi="Times New Roman" w:cs="Times New Roman"/>
          <w:b/>
          <w:bCs/>
          <w:sz w:val="28"/>
          <w:szCs w:val="28"/>
        </w:rPr>
      </w:pPr>
      <w:r>
        <w:rPr>
          <w:rFonts w:ascii="Times New Roman" w:eastAsia="微软雅黑" w:hAnsi="Times New Roman" w:cs="Times New Roman"/>
          <w:b/>
          <w:sz w:val="36"/>
          <w:szCs w:val="36"/>
        </w:rPr>
        <w:t>2× Probe qPCR Mix</w:t>
      </w:r>
    </w:p>
    <w:p w:rsidR="00FE358D" w:rsidRDefault="00453CED" w:rsidP="00983F8C">
      <w:pPr>
        <w:spacing w:beforeLines="50" w:before="156" w:line="420" w:lineRule="exact"/>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r>
        <w:rPr>
          <w:rFonts w:ascii="Times New Roman" w:eastAsia="黑体" w:hAnsi="Times New Roman" w:cs="Times New Roman"/>
          <w:b/>
          <w:bCs/>
          <w:sz w:val="28"/>
          <w:szCs w:val="28"/>
        </w:rPr>
        <w:t xml:space="preserve">EH002                 </w:t>
      </w:r>
      <w:r>
        <w:rPr>
          <w:rFonts w:ascii="Times New Roman" w:eastAsia="黑体" w:hAnsi="Times New Roman" w:cs="Times New Roman"/>
          <w:b/>
          <w:bCs/>
          <w:sz w:val="28"/>
          <w:szCs w:val="28"/>
        </w:rPr>
        <w:t>规格：</w:t>
      </w:r>
      <w:r>
        <w:rPr>
          <w:rFonts w:ascii="Times New Roman" w:eastAsia="黑体" w:hAnsi="Times New Roman" w:cs="Times New Roman"/>
          <w:b/>
          <w:bCs/>
          <w:sz w:val="28"/>
          <w:szCs w:val="28"/>
        </w:rPr>
        <w:t xml:space="preserve">1mL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-20℃</w:t>
      </w:r>
      <w:r>
        <w:rPr>
          <w:rFonts w:ascii="Times New Roman" w:eastAsia="黑体" w:hAnsi="Times New Roman" w:cs="Times New Roman"/>
          <w:b/>
          <w:bCs/>
          <w:sz w:val="28"/>
          <w:szCs w:val="28"/>
        </w:rPr>
        <w:t>保存</w:t>
      </w:r>
    </w:p>
    <w:p w:rsidR="00FE358D" w:rsidRDefault="00453CE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产品简介：</w:t>
      </w:r>
    </w:p>
    <w:p w:rsidR="00FE358D" w:rsidRDefault="00453CED">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本产品是采用探针法进行</w:t>
      </w:r>
      <w:r>
        <w:rPr>
          <w:rFonts w:ascii="Times New Roman" w:eastAsia="宋体" w:hAnsi="Times New Roman" w:cs="Times New Roman"/>
          <w:sz w:val="24"/>
        </w:rPr>
        <w:t xml:space="preserve">Real Time </w:t>
      </w:r>
      <w:r>
        <w:rPr>
          <w:rFonts w:ascii="Times New Roman" w:eastAsia="宋体" w:hAnsi="Times New Roman" w:cs="Times New Roman" w:hint="eastAsia"/>
          <w:sz w:val="24"/>
        </w:rPr>
        <w:t>q</w:t>
      </w:r>
      <w:r>
        <w:rPr>
          <w:rFonts w:ascii="Times New Roman" w:eastAsia="宋体" w:hAnsi="Times New Roman" w:cs="Times New Roman"/>
          <w:sz w:val="24"/>
        </w:rPr>
        <w:t>PCR</w:t>
      </w:r>
      <w:r>
        <w:rPr>
          <w:rFonts w:ascii="Times New Roman" w:eastAsia="宋体" w:hAnsi="Times New Roman" w:cs="Times New Roman"/>
          <w:sz w:val="24"/>
        </w:rPr>
        <w:t>的专用试剂，含有抗体封闭型热启动酶，能够有效抑制低温条件下引物非特异性退火或者引物二聚体引起的非特异性扩增，提高扩增反应的特异性。本产品具备较高的扩增效率和检测灵敏度，可以在较宽定量区域内得到良好的标准曲线，准确进行定量，</w:t>
      </w:r>
      <w:r>
        <w:rPr>
          <w:rFonts w:ascii="Times New Roman" w:eastAsia="宋体" w:hAnsi="Times New Roman" w:cs="Times New Roman" w:hint="eastAsia"/>
          <w:sz w:val="24"/>
        </w:rPr>
        <w:t>同时与</w:t>
      </w:r>
      <w:r>
        <w:rPr>
          <w:rFonts w:ascii="Times New Roman" w:eastAsia="宋体" w:hAnsi="Times New Roman" w:cs="Times New Roman"/>
          <w:sz w:val="24"/>
        </w:rPr>
        <w:t>Applied Biosystems</w:t>
      </w:r>
      <w:r>
        <w:rPr>
          <w:rFonts w:ascii="Times New Roman" w:eastAsia="宋体" w:hAnsi="Times New Roman" w:cs="Times New Roman"/>
          <w:sz w:val="24"/>
        </w:rPr>
        <w:t>、</w:t>
      </w:r>
      <w:r>
        <w:rPr>
          <w:rFonts w:ascii="Times New Roman" w:eastAsia="宋体" w:hAnsi="Times New Roman" w:cs="Times New Roman"/>
          <w:sz w:val="24"/>
        </w:rPr>
        <w:t>Eppendorf</w:t>
      </w:r>
      <w:r>
        <w:rPr>
          <w:rFonts w:ascii="Times New Roman" w:eastAsia="宋体" w:hAnsi="Times New Roman" w:cs="Times New Roman"/>
          <w:sz w:val="24"/>
        </w:rPr>
        <w:t>、</w:t>
      </w:r>
      <w:r>
        <w:rPr>
          <w:rFonts w:ascii="Times New Roman" w:eastAsia="宋体" w:hAnsi="Times New Roman" w:cs="Times New Roman"/>
          <w:sz w:val="24"/>
        </w:rPr>
        <w:t>Bio-Rad</w:t>
      </w:r>
      <w:r>
        <w:rPr>
          <w:rFonts w:ascii="Times New Roman" w:eastAsia="宋体" w:hAnsi="Times New Roman" w:cs="Times New Roman" w:hint="eastAsia"/>
          <w:sz w:val="24"/>
        </w:rPr>
        <w:t>、</w:t>
      </w:r>
      <w:r>
        <w:rPr>
          <w:rFonts w:ascii="Times New Roman" w:eastAsia="宋体" w:hAnsi="Times New Roman" w:cs="Times New Roman"/>
          <w:sz w:val="24"/>
        </w:rPr>
        <w:t>Roche</w:t>
      </w:r>
      <w:r>
        <w:rPr>
          <w:rFonts w:ascii="Times New Roman" w:eastAsia="宋体" w:hAnsi="Times New Roman" w:cs="Times New Roman" w:hint="eastAsia"/>
          <w:sz w:val="24"/>
        </w:rPr>
        <w:t>及国产品牌等的多家荧光定量</w:t>
      </w:r>
      <w:r>
        <w:rPr>
          <w:rFonts w:ascii="Times New Roman" w:eastAsia="宋体" w:hAnsi="Times New Roman" w:cs="Times New Roman"/>
          <w:sz w:val="24"/>
        </w:rPr>
        <w:t>PCR</w:t>
      </w:r>
      <w:r>
        <w:rPr>
          <w:rFonts w:ascii="Times New Roman" w:eastAsia="宋体" w:hAnsi="Times New Roman" w:cs="Times New Roman" w:hint="eastAsia"/>
          <w:sz w:val="24"/>
        </w:rPr>
        <w:t>仪兼容。</w:t>
      </w:r>
    </w:p>
    <w:p w:rsidR="00FE358D" w:rsidRDefault="00453CE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TableNormal"/>
        <w:tblW w:w="4997"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4870"/>
        <w:gridCol w:w="4870"/>
      </w:tblGrid>
      <w:tr w:rsidR="00FE358D">
        <w:trPr>
          <w:trHeight w:hRule="exact" w:val="441"/>
        </w:trPr>
        <w:tc>
          <w:tcPr>
            <w:tcW w:w="2500" w:type="pct"/>
            <w:tcBorders>
              <w:left w:val="nil"/>
              <w:right w:val="nil"/>
            </w:tcBorders>
            <w:vAlign w:val="center"/>
          </w:tcPr>
          <w:p w:rsidR="00FE358D" w:rsidRDefault="00453CED">
            <w:pPr>
              <w:spacing w:line="460" w:lineRule="exact"/>
              <w:jc w:val="center"/>
              <w:rPr>
                <w:rFonts w:ascii="Times New Roman" w:hAnsi="Times New Roman" w:cs="Times New Roman"/>
                <w:b/>
                <w:bCs/>
                <w:sz w:val="24"/>
              </w:rPr>
            </w:pPr>
            <w:r>
              <w:rPr>
                <w:rFonts w:ascii="Times New Roman" w:hAnsi="Times New Roman" w:cs="Times New Roman"/>
                <w:sz w:val="24"/>
              </w:rPr>
              <w:t>组分</w:t>
            </w:r>
          </w:p>
        </w:tc>
        <w:tc>
          <w:tcPr>
            <w:tcW w:w="2500" w:type="pct"/>
            <w:tcBorders>
              <w:left w:val="nil"/>
              <w:right w:val="nil"/>
            </w:tcBorders>
            <w:vAlign w:val="center"/>
          </w:tcPr>
          <w:p w:rsidR="00FE358D" w:rsidRDefault="00453CED">
            <w:pPr>
              <w:widowControl/>
              <w:spacing w:line="460" w:lineRule="exact"/>
              <w:jc w:val="center"/>
              <w:textAlignment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E</w:t>
            </w:r>
            <w:r>
              <w:rPr>
                <w:rFonts w:ascii="Times New Roman" w:eastAsia="宋体" w:hAnsi="Times New Roman" w:cs="Times New Roman" w:hint="eastAsia"/>
                <w:color w:val="000000"/>
                <w:kern w:val="0"/>
                <w:sz w:val="24"/>
                <w:lang w:bidi="ar"/>
              </w:rPr>
              <w:t>H</w:t>
            </w:r>
            <w:r>
              <w:rPr>
                <w:rFonts w:ascii="Times New Roman" w:eastAsia="宋体" w:hAnsi="Times New Roman" w:cs="Times New Roman"/>
                <w:color w:val="000000"/>
                <w:kern w:val="0"/>
                <w:sz w:val="24"/>
                <w:lang w:bidi="ar"/>
              </w:rPr>
              <w:t>002</w:t>
            </w:r>
            <w:r>
              <w:rPr>
                <w:rFonts w:ascii="Times New Roman" w:eastAsia="宋体" w:hAnsi="Times New Roman" w:cs="Times New Roman" w:hint="eastAsia"/>
                <w:color w:val="000000"/>
                <w:kern w:val="0"/>
                <w:sz w:val="24"/>
                <w:lang w:bidi="ar"/>
              </w:rPr>
              <w:t>-02</w:t>
            </w:r>
          </w:p>
        </w:tc>
      </w:tr>
      <w:tr w:rsidR="00FE358D">
        <w:trPr>
          <w:trHeight w:hRule="exact" w:val="474"/>
        </w:trPr>
        <w:tc>
          <w:tcPr>
            <w:tcW w:w="2500" w:type="pct"/>
            <w:tcBorders>
              <w:left w:val="nil"/>
              <w:right w:val="nil"/>
            </w:tcBorders>
            <w:vAlign w:val="center"/>
          </w:tcPr>
          <w:p w:rsidR="00FE358D" w:rsidRDefault="00453CED">
            <w:pPr>
              <w:spacing w:line="460" w:lineRule="exact"/>
              <w:jc w:val="center"/>
              <w:rPr>
                <w:rFonts w:ascii="Times New Roman" w:eastAsia="宋体" w:hAnsi="Times New Roman" w:cs="Times New Roman"/>
                <w:sz w:val="24"/>
              </w:rPr>
            </w:pPr>
            <w:r>
              <w:rPr>
                <w:rFonts w:ascii="Times New Roman" w:eastAsia="宋体" w:hAnsi="Times New Roman" w:cs="Times New Roman"/>
                <w:sz w:val="24"/>
              </w:rPr>
              <w:t>2× Probe qPCR Mix</w:t>
            </w:r>
          </w:p>
        </w:tc>
        <w:tc>
          <w:tcPr>
            <w:tcW w:w="2500" w:type="pct"/>
            <w:tcBorders>
              <w:left w:val="nil"/>
              <w:right w:val="nil"/>
            </w:tcBorders>
            <w:vAlign w:val="center"/>
          </w:tcPr>
          <w:p w:rsidR="00FE358D" w:rsidRDefault="00453CED">
            <w:pPr>
              <w:spacing w:line="460" w:lineRule="exact"/>
              <w:jc w:val="center"/>
              <w:rPr>
                <w:rFonts w:ascii="Times New Roman" w:hAnsi="Times New Roman" w:cs="Times New Roman"/>
                <w:sz w:val="24"/>
              </w:rPr>
            </w:pPr>
            <w:r>
              <w:rPr>
                <w:rFonts w:ascii="Times New Roman" w:eastAsia="宋体" w:hAnsi="Times New Roman" w:cs="Times New Roman"/>
                <w:sz w:val="24"/>
              </w:rPr>
              <w:t>1mL</w:t>
            </w:r>
          </w:p>
        </w:tc>
      </w:tr>
    </w:tbl>
    <w:p w:rsidR="00FE358D" w:rsidRDefault="00453CED">
      <w:pPr>
        <w:spacing w:line="460" w:lineRule="exact"/>
        <w:ind w:firstLineChars="200" w:firstLine="482"/>
        <w:rPr>
          <w:rFonts w:ascii="Times New Roman" w:eastAsia="宋体" w:hAnsi="Times New Roman" w:cs="Times New Roman"/>
          <w:color w:val="000000"/>
          <w:kern w:val="0"/>
          <w:sz w:val="24"/>
          <w:lang w:bidi="ar"/>
        </w:rPr>
      </w:pPr>
      <w:r>
        <w:rPr>
          <w:rFonts w:ascii="Times New Roman" w:eastAsia="宋体" w:hAnsi="Times New Roman" w:cs="Times New Roman"/>
          <w:b/>
          <w:bCs/>
          <w:color w:val="000000"/>
          <w:kern w:val="0"/>
          <w:sz w:val="24"/>
          <w:lang w:bidi="ar"/>
        </w:rPr>
        <w:t>注意：</w:t>
      </w:r>
      <w:r>
        <w:rPr>
          <w:rFonts w:ascii="Times New Roman" w:eastAsia="宋体" w:hAnsi="Times New Roman" w:cs="Times New Roman"/>
          <w:color w:val="000000"/>
          <w:kern w:val="0"/>
          <w:sz w:val="24"/>
          <w:lang w:bidi="ar"/>
        </w:rPr>
        <w:t>自备或与厂家联系购置</w:t>
      </w:r>
      <w:r>
        <w:rPr>
          <w:rFonts w:ascii="Times New Roman" w:eastAsia="宋体" w:hAnsi="Times New Roman" w:cs="Times New Roman"/>
          <w:color w:val="000000"/>
          <w:kern w:val="0"/>
          <w:sz w:val="24"/>
          <w:lang w:bidi="ar"/>
        </w:rPr>
        <w:t xml:space="preserve">ROX Reference </w:t>
      </w:r>
      <w:r>
        <w:rPr>
          <w:rFonts w:ascii="Times New Roman" w:eastAsia="宋体" w:hAnsi="Times New Roman" w:cs="Times New Roman"/>
          <w:color w:val="000000"/>
          <w:kern w:val="0"/>
          <w:sz w:val="24"/>
          <w:lang w:bidi="ar"/>
        </w:rPr>
        <w:t>Dye</w:t>
      </w:r>
      <w:r>
        <w:rPr>
          <w:rFonts w:ascii="Times New Roman" w:eastAsia="宋体" w:hAnsi="Times New Roman" w:cs="Times New Roman"/>
          <w:color w:val="000000"/>
          <w:kern w:val="0"/>
          <w:sz w:val="24"/>
          <w:lang w:bidi="ar"/>
        </w:rPr>
        <w:t>，用以校正部分公司</w:t>
      </w:r>
      <w:r>
        <w:rPr>
          <w:rFonts w:ascii="Times New Roman" w:eastAsia="宋体" w:hAnsi="Times New Roman" w:cs="Times New Roman"/>
          <w:color w:val="000000"/>
          <w:kern w:val="0"/>
          <w:sz w:val="24"/>
          <w:lang w:bidi="ar"/>
        </w:rPr>
        <w:t>Real Time PCR</w:t>
      </w:r>
      <w:r>
        <w:rPr>
          <w:rFonts w:ascii="Times New Roman" w:eastAsia="宋体" w:hAnsi="Times New Roman" w:cs="Times New Roman"/>
          <w:color w:val="000000"/>
          <w:kern w:val="0"/>
          <w:sz w:val="24"/>
          <w:lang w:bidi="ar"/>
        </w:rPr>
        <w:t>扩增仪的孔间荧光信号误差。</w:t>
      </w:r>
      <w:r>
        <w:rPr>
          <w:rFonts w:ascii="Times New Roman" w:eastAsia="宋体" w:hAnsi="Times New Roman" w:cs="Times New Roman"/>
          <w:color w:val="000000"/>
          <w:kern w:val="0"/>
          <w:sz w:val="24"/>
          <w:lang w:bidi="ar"/>
        </w:rPr>
        <w:t>ROX Reference Dye I</w:t>
      </w:r>
      <w:r>
        <w:rPr>
          <w:rFonts w:ascii="Times New Roman" w:eastAsia="宋体" w:hAnsi="Times New Roman" w:cs="Times New Roman"/>
          <w:color w:val="000000"/>
          <w:kern w:val="0"/>
          <w:sz w:val="24"/>
          <w:lang w:bidi="ar"/>
        </w:rPr>
        <w:t>适用于</w:t>
      </w:r>
      <w:r>
        <w:rPr>
          <w:rFonts w:ascii="Times New Roman" w:eastAsia="宋体" w:hAnsi="Times New Roman" w:cs="Times New Roman"/>
          <w:color w:val="000000"/>
          <w:kern w:val="0"/>
          <w:sz w:val="24"/>
          <w:lang w:bidi="ar"/>
        </w:rPr>
        <w:t>ABI PRISM 7000/7700/7300/7900HT</w:t>
      </w:r>
      <w:r>
        <w:rPr>
          <w:rFonts w:ascii="Times New Roman" w:eastAsia="宋体" w:hAnsi="Times New Roman" w:cs="Times New Roman"/>
          <w:color w:val="000000"/>
          <w:kern w:val="0"/>
          <w:sz w:val="24"/>
          <w:lang w:bidi="ar"/>
        </w:rPr>
        <w:t>及</w:t>
      </w:r>
      <w:r>
        <w:rPr>
          <w:rFonts w:ascii="Times New Roman" w:eastAsia="宋体" w:hAnsi="Times New Roman" w:cs="Times New Roman"/>
          <w:color w:val="000000"/>
          <w:kern w:val="0"/>
          <w:sz w:val="24"/>
          <w:lang w:bidi="ar"/>
        </w:rPr>
        <w:t>Step One Plus Real-Time PCR System</w:t>
      </w:r>
      <w:r>
        <w:rPr>
          <w:rFonts w:ascii="Times New Roman" w:eastAsia="宋体" w:hAnsi="Times New Roman" w:cs="Times New Roman"/>
          <w:color w:val="000000"/>
          <w:kern w:val="0"/>
          <w:sz w:val="24"/>
          <w:lang w:bidi="ar"/>
        </w:rPr>
        <w:t>等；</w:t>
      </w:r>
      <w:r>
        <w:rPr>
          <w:rFonts w:ascii="Times New Roman" w:eastAsia="宋体" w:hAnsi="Times New Roman" w:cs="Times New Roman"/>
          <w:color w:val="000000"/>
          <w:kern w:val="0"/>
          <w:sz w:val="24"/>
          <w:lang w:bidi="ar"/>
        </w:rPr>
        <w:t>ROX Reference Dye II</w:t>
      </w:r>
      <w:r>
        <w:rPr>
          <w:rFonts w:ascii="Times New Roman" w:eastAsia="宋体" w:hAnsi="Times New Roman" w:cs="Times New Roman"/>
          <w:color w:val="000000"/>
          <w:kern w:val="0"/>
          <w:sz w:val="24"/>
          <w:lang w:bidi="ar"/>
        </w:rPr>
        <w:t>适用于</w:t>
      </w:r>
      <w:r>
        <w:rPr>
          <w:rFonts w:ascii="Times New Roman" w:eastAsia="宋体" w:hAnsi="Times New Roman" w:cs="Times New Roman"/>
          <w:color w:val="000000"/>
          <w:kern w:val="0"/>
          <w:sz w:val="24"/>
          <w:lang w:bidi="ar"/>
        </w:rPr>
        <w:t>7500 Real-Time PCR System</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7500 Fast Real -Time PCR System</w:t>
      </w:r>
      <w:r>
        <w:rPr>
          <w:rFonts w:ascii="Times New Roman" w:eastAsia="宋体" w:hAnsi="Times New Roman" w:cs="Times New Roman"/>
          <w:color w:val="000000"/>
          <w:kern w:val="0"/>
          <w:sz w:val="24"/>
          <w:lang w:bidi="ar"/>
        </w:rPr>
        <w:t>、</w:t>
      </w:r>
      <w:proofErr w:type="spellStart"/>
      <w:r>
        <w:rPr>
          <w:rFonts w:ascii="Times New Roman" w:eastAsia="宋体" w:hAnsi="Times New Roman" w:cs="Times New Roman"/>
          <w:color w:val="000000"/>
          <w:kern w:val="0"/>
          <w:sz w:val="24"/>
          <w:lang w:bidi="ar"/>
        </w:rPr>
        <w:t>Stratagene</w:t>
      </w:r>
      <w:proofErr w:type="spellEnd"/>
      <w:r>
        <w:rPr>
          <w:rFonts w:ascii="Times New Roman" w:eastAsia="宋体" w:hAnsi="Times New Roman" w:cs="Times New Roman"/>
          <w:color w:val="000000"/>
          <w:kern w:val="0"/>
          <w:sz w:val="24"/>
          <w:lang w:bidi="ar"/>
        </w:rPr>
        <w:t xml:space="preserve"> Mx3000P</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Mx3005P</w:t>
      </w:r>
      <w:r>
        <w:rPr>
          <w:rFonts w:ascii="Times New Roman" w:eastAsia="宋体" w:hAnsi="Times New Roman" w:cs="Times New Roman"/>
          <w:color w:val="000000"/>
          <w:kern w:val="0"/>
          <w:sz w:val="24"/>
          <w:lang w:bidi="ar"/>
        </w:rPr>
        <w:t>及</w:t>
      </w:r>
      <w:r>
        <w:rPr>
          <w:rFonts w:ascii="Times New Roman" w:eastAsia="宋体" w:hAnsi="Times New Roman" w:cs="Times New Roman"/>
          <w:color w:val="000000"/>
          <w:kern w:val="0"/>
          <w:sz w:val="24"/>
          <w:lang w:bidi="ar"/>
        </w:rPr>
        <w:t>Mx4000</w:t>
      </w:r>
      <w:r>
        <w:rPr>
          <w:rFonts w:ascii="Times New Roman" w:eastAsia="宋体" w:hAnsi="Times New Roman" w:cs="Times New Roman"/>
          <w:color w:val="000000"/>
          <w:kern w:val="0"/>
          <w:sz w:val="24"/>
          <w:lang w:bidi="ar"/>
        </w:rPr>
        <w:t>等；</w:t>
      </w:r>
      <w:r>
        <w:rPr>
          <w:rFonts w:ascii="Times New Roman" w:eastAsia="宋体" w:hAnsi="Times New Roman" w:cs="Times New Roman"/>
          <w:color w:val="000000"/>
          <w:kern w:val="0"/>
          <w:sz w:val="24"/>
          <w:lang w:bidi="ar"/>
        </w:rPr>
        <w:t>ROX Referenc</w:t>
      </w:r>
      <w:r>
        <w:rPr>
          <w:rFonts w:ascii="Times New Roman" w:eastAsia="宋体" w:hAnsi="Times New Roman" w:cs="Times New Roman"/>
          <w:color w:val="000000"/>
          <w:kern w:val="0"/>
          <w:sz w:val="24"/>
          <w:lang w:bidi="ar"/>
        </w:rPr>
        <w:t>e Dye I</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II</w:t>
      </w:r>
      <w:r>
        <w:rPr>
          <w:rFonts w:ascii="Times New Roman" w:eastAsia="宋体" w:hAnsi="Times New Roman" w:cs="Times New Roman"/>
          <w:color w:val="000000"/>
          <w:kern w:val="0"/>
          <w:sz w:val="24"/>
          <w:lang w:bidi="ar"/>
        </w:rPr>
        <w:t>反应终浓度均为</w:t>
      </w: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w:t>
      </w:r>
      <w:proofErr w:type="spellStart"/>
      <w:r>
        <w:rPr>
          <w:rFonts w:ascii="Times New Roman" w:eastAsia="宋体" w:hAnsi="Times New Roman" w:cs="Times New Roman"/>
          <w:color w:val="000000"/>
          <w:kern w:val="0"/>
          <w:sz w:val="24"/>
          <w:lang w:bidi="ar"/>
        </w:rPr>
        <w:t>LightCycler</w:t>
      </w:r>
      <w:proofErr w:type="spellEnd"/>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Thermal Cycler Dice Real Time System II</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Smart Cycler System</w:t>
      </w:r>
      <w:r>
        <w:rPr>
          <w:rFonts w:ascii="Times New Roman" w:eastAsia="宋体" w:hAnsi="Times New Roman" w:cs="Times New Roman"/>
          <w:color w:val="000000"/>
          <w:kern w:val="0"/>
          <w:sz w:val="24"/>
          <w:lang w:bidi="ar"/>
        </w:rPr>
        <w:t>等实时荧光定量</w:t>
      </w:r>
      <w:r>
        <w:rPr>
          <w:rFonts w:ascii="Times New Roman" w:eastAsia="宋体" w:hAnsi="Times New Roman" w:cs="Times New Roman"/>
          <w:color w:val="000000"/>
          <w:kern w:val="0"/>
          <w:sz w:val="24"/>
          <w:lang w:bidi="ar"/>
        </w:rPr>
        <w:t>PCR</w:t>
      </w:r>
      <w:r>
        <w:rPr>
          <w:rFonts w:ascii="Times New Roman" w:eastAsia="宋体" w:hAnsi="Times New Roman" w:cs="Times New Roman"/>
          <w:color w:val="000000"/>
          <w:kern w:val="0"/>
          <w:sz w:val="24"/>
          <w:lang w:bidi="ar"/>
        </w:rPr>
        <w:t>扩增仪不需使用。</w:t>
      </w:r>
    </w:p>
    <w:p w:rsidR="00FE358D" w:rsidRDefault="00453CE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储存条件：</w:t>
      </w:r>
    </w:p>
    <w:p w:rsidR="00FE358D" w:rsidRDefault="00453CED">
      <w:pPr>
        <w:spacing w:line="460" w:lineRule="exact"/>
        <w:ind w:firstLineChars="200" w:firstLine="480"/>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-20℃</w:t>
      </w:r>
      <w:r>
        <w:rPr>
          <w:rFonts w:ascii="Times New Roman" w:eastAsia="宋体" w:hAnsi="Times New Roman" w:cs="Times New Roman"/>
          <w:color w:val="000000"/>
          <w:kern w:val="0"/>
          <w:sz w:val="24"/>
          <w:lang w:bidi="ar"/>
        </w:rPr>
        <w:t>条件下保存，有效期至少</w:t>
      </w:r>
      <w:r>
        <w:rPr>
          <w:rFonts w:ascii="Times New Roman" w:eastAsia="宋体" w:hAnsi="Times New Roman" w:cs="Times New Roman"/>
          <w:color w:val="000000"/>
          <w:kern w:val="0"/>
          <w:sz w:val="24"/>
          <w:lang w:bidi="ar"/>
        </w:rPr>
        <w:t>12</w:t>
      </w:r>
      <w:r>
        <w:rPr>
          <w:rFonts w:ascii="Times New Roman" w:eastAsia="宋体" w:hAnsi="Times New Roman" w:cs="Times New Roman"/>
          <w:color w:val="000000"/>
          <w:kern w:val="0"/>
          <w:sz w:val="24"/>
          <w:lang w:bidi="ar"/>
        </w:rPr>
        <w:t>个月。</w:t>
      </w:r>
    </w:p>
    <w:p w:rsidR="00FE358D" w:rsidRDefault="00453CE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活性定义：</w:t>
      </w:r>
    </w:p>
    <w:p w:rsidR="00FE358D" w:rsidRDefault="00453CED">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用活性化的大马哈鱼精子</w:t>
      </w:r>
      <w:r>
        <w:rPr>
          <w:rFonts w:ascii="Times New Roman" w:eastAsia="宋体" w:hAnsi="Times New Roman" w:cs="Times New Roman"/>
          <w:sz w:val="24"/>
        </w:rPr>
        <w:t>DNA</w:t>
      </w:r>
      <w:r>
        <w:rPr>
          <w:rFonts w:ascii="Times New Roman" w:eastAsia="宋体" w:hAnsi="Times New Roman" w:cs="Times New Roman"/>
          <w:sz w:val="24"/>
        </w:rPr>
        <w:t>作为模板</w:t>
      </w:r>
      <w:r>
        <w:rPr>
          <w:rFonts w:ascii="Times New Roman" w:eastAsia="宋体" w:hAnsi="Times New Roman" w:cs="Times New Roman"/>
          <w:sz w:val="24"/>
        </w:rPr>
        <w:t>/</w:t>
      </w:r>
      <w:r>
        <w:rPr>
          <w:rFonts w:ascii="Times New Roman" w:eastAsia="宋体" w:hAnsi="Times New Roman" w:cs="Times New Roman"/>
          <w:sz w:val="24"/>
        </w:rPr>
        <w:t>引物，在</w:t>
      </w:r>
      <w:r>
        <w:rPr>
          <w:rFonts w:ascii="Times New Roman" w:eastAsia="宋体" w:hAnsi="Times New Roman" w:cs="Times New Roman"/>
          <w:sz w:val="24"/>
        </w:rPr>
        <w:t>74℃</w:t>
      </w:r>
      <w:r>
        <w:rPr>
          <w:rFonts w:ascii="Times New Roman" w:eastAsia="宋体" w:hAnsi="Times New Roman" w:cs="Times New Roman"/>
          <w:sz w:val="24"/>
        </w:rPr>
        <w:t>，</w:t>
      </w:r>
      <w:r>
        <w:rPr>
          <w:rFonts w:ascii="Times New Roman" w:eastAsia="宋体" w:hAnsi="Times New Roman" w:cs="Times New Roman"/>
          <w:sz w:val="24"/>
        </w:rPr>
        <w:t>30</w:t>
      </w:r>
      <w:r>
        <w:rPr>
          <w:rFonts w:ascii="Times New Roman" w:eastAsia="宋体" w:hAnsi="Times New Roman" w:cs="Times New Roman"/>
          <w:sz w:val="24"/>
        </w:rPr>
        <w:t>分钟内，摄入</w:t>
      </w:r>
      <w:r>
        <w:rPr>
          <w:rFonts w:ascii="Times New Roman" w:eastAsia="宋体" w:hAnsi="Times New Roman" w:cs="Times New Roman"/>
          <w:sz w:val="24"/>
        </w:rPr>
        <w:t>10nmol</w:t>
      </w:r>
      <w:r>
        <w:rPr>
          <w:rFonts w:ascii="Times New Roman" w:eastAsia="宋体" w:hAnsi="Times New Roman" w:cs="Times New Roman"/>
          <w:sz w:val="24"/>
        </w:rPr>
        <w:t>的全核苷酸为酸性不溶物的活性定义为</w:t>
      </w:r>
      <w:r>
        <w:rPr>
          <w:rFonts w:ascii="Times New Roman" w:eastAsia="宋体" w:hAnsi="Times New Roman" w:cs="Times New Roman"/>
          <w:sz w:val="24"/>
        </w:rPr>
        <w:t>1</w:t>
      </w:r>
      <w:r>
        <w:rPr>
          <w:rFonts w:ascii="Times New Roman" w:eastAsia="宋体" w:hAnsi="Times New Roman" w:cs="Times New Roman"/>
          <w:sz w:val="24"/>
        </w:rPr>
        <w:t>个活性单位（</w:t>
      </w:r>
      <w:r>
        <w:rPr>
          <w:rFonts w:ascii="Times New Roman" w:eastAsia="宋体" w:hAnsi="Times New Roman" w:cs="Times New Roman"/>
          <w:sz w:val="24"/>
        </w:rPr>
        <w:t>U</w:t>
      </w:r>
      <w:r>
        <w:rPr>
          <w:rFonts w:ascii="Times New Roman" w:eastAsia="宋体" w:hAnsi="Times New Roman" w:cs="Times New Roman"/>
          <w:sz w:val="24"/>
        </w:rPr>
        <w:t>）。</w:t>
      </w:r>
    </w:p>
    <w:p w:rsidR="00FE358D" w:rsidRDefault="00453CE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质量控制：</w:t>
      </w:r>
      <w:r>
        <w:rPr>
          <w:rFonts w:ascii="Times New Roman" w:hAnsi="Times New Roman" w:cs="Times New Roman"/>
          <w:b/>
          <w:sz w:val="28"/>
          <w:szCs w:val="28"/>
        </w:rPr>
        <w:t xml:space="preserve"> </w:t>
      </w:r>
    </w:p>
    <w:p w:rsidR="00FE358D" w:rsidRDefault="00453CED">
      <w:pPr>
        <w:widowControl/>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本产品经质量检测，不含脱氧核糖核酸内切酶活性、脱氧核糖核酸外切酶活性和核糖核酸酶污染。宿主基因组残留低于</w:t>
      </w:r>
      <w:r>
        <w:rPr>
          <w:rFonts w:ascii="Times New Roman" w:eastAsia="宋体" w:hAnsi="Times New Roman" w:cs="Times New Roman"/>
          <w:color w:val="000000"/>
          <w:kern w:val="0"/>
          <w:sz w:val="24"/>
          <w:lang w:bidi="ar"/>
        </w:rPr>
        <w:t>10</w:t>
      </w:r>
      <w:r>
        <w:rPr>
          <w:rFonts w:ascii="Times New Roman" w:eastAsia="宋体" w:hAnsi="Times New Roman" w:cs="Times New Roman"/>
          <w:color w:val="000000"/>
          <w:kern w:val="0"/>
          <w:sz w:val="24"/>
          <w:lang w:bidi="ar"/>
        </w:rPr>
        <w:t>拷贝。</w:t>
      </w:r>
      <w:r>
        <w:rPr>
          <w:rFonts w:ascii="Times New Roman" w:eastAsia="宋体" w:hAnsi="Times New Roman" w:cs="Times New Roman"/>
          <w:sz w:val="24"/>
        </w:rPr>
        <w:t xml:space="preserve"> </w:t>
      </w:r>
    </w:p>
    <w:p w:rsidR="00FE358D" w:rsidRDefault="00453CE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产品用途：</w:t>
      </w:r>
    </w:p>
    <w:p w:rsidR="00FE358D" w:rsidRDefault="00453CED">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实时荧光定量单重</w:t>
      </w:r>
      <w:r>
        <w:rPr>
          <w:rFonts w:ascii="Times New Roman" w:eastAsia="宋体" w:hAnsi="Times New Roman" w:cs="Times New Roman" w:hint="eastAsia"/>
          <w:sz w:val="24"/>
        </w:rPr>
        <w:t>或</w:t>
      </w:r>
      <w:r>
        <w:rPr>
          <w:rFonts w:ascii="Times New Roman" w:eastAsia="宋体" w:hAnsi="Times New Roman" w:cs="Times New Roman"/>
          <w:sz w:val="24"/>
        </w:rPr>
        <w:t>多重（</w:t>
      </w:r>
      <w:r>
        <w:rPr>
          <w:rFonts w:ascii="Times New Roman" w:eastAsia="宋体" w:hAnsi="Times New Roman" w:cs="Times New Roman"/>
          <w:sz w:val="24"/>
        </w:rPr>
        <w:t>2-4</w:t>
      </w:r>
      <w:r>
        <w:rPr>
          <w:rFonts w:ascii="Times New Roman" w:eastAsia="宋体" w:hAnsi="Times New Roman" w:cs="Times New Roman"/>
          <w:sz w:val="24"/>
        </w:rPr>
        <w:t>通道）</w:t>
      </w:r>
      <w:r>
        <w:rPr>
          <w:rFonts w:ascii="Times New Roman" w:eastAsia="宋体" w:hAnsi="Times New Roman" w:cs="Times New Roman"/>
          <w:sz w:val="24"/>
        </w:rPr>
        <w:t>qPCR</w:t>
      </w:r>
      <w:r>
        <w:rPr>
          <w:rFonts w:ascii="Times New Roman" w:eastAsia="宋体" w:hAnsi="Times New Roman" w:cs="Times New Roman"/>
          <w:sz w:val="24"/>
        </w:rPr>
        <w:t>（探针法）扩增</w:t>
      </w:r>
      <w:r>
        <w:rPr>
          <w:rFonts w:ascii="Times New Roman" w:eastAsia="宋体" w:hAnsi="Times New Roman" w:cs="Times New Roman"/>
          <w:sz w:val="24"/>
        </w:rPr>
        <w:t>DNA</w:t>
      </w:r>
      <w:r>
        <w:rPr>
          <w:rFonts w:ascii="Times New Roman" w:eastAsia="宋体" w:hAnsi="Times New Roman" w:cs="Times New Roman" w:hint="eastAsia"/>
          <w:sz w:val="24"/>
        </w:rPr>
        <w:t>或</w:t>
      </w:r>
      <w:r>
        <w:rPr>
          <w:rFonts w:ascii="Times New Roman" w:eastAsia="宋体" w:hAnsi="Times New Roman" w:cs="Times New Roman" w:hint="eastAsia"/>
          <w:sz w:val="24"/>
        </w:rPr>
        <w:t>cDNA</w:t>
      </w:r>
      <w:r>
        <w:rPr>
          <w:rFonts w:ascii="Times New Roman" w:eastAsia="宋体" w:hAnsi="Times New Roman" w:cs="Times New Roman" w:hint="eastAsia"/>
          <w:sz w:val="24"/>
        </w:rPr>
        <w:t>；绝对定量</w:t>
      </w:r>
      <w:r>
        <w:rPr>
          <w:rFonts w:ascii="Times New Roman" w:eastAsia="宋体" w:hAnsi="Times New Roman" w:cs="Times New Roman"/>
          <w:sz w:val="24"/>
        </w:rPr>
        <w:t>qPCR</w:t>
      </w:r>
      <w:r>
        <w:rPr>
          <w:rFonts w:ascii="Times New Roman" w:eastAsia="宋体" w:hAnsi="Times New Roman" w:cs="Times New Roman"/>
          <w:sz w:val="24"/>
        </w:rPr>
        <w:t>。</w:t>
      </w:r>
      <w:r>
        <w:rPr>
          <w:rFonts w:ascii="Times New Roman" w:eastAsia="宋体" w:hAnsi="Times New Roman" w:cs="Times New Roman"/>
          <w:sz w:val="24"/>
        </w:rPr>
        <w:t xml:space="preserve"> </w:t>
      </w:r>
    </w:p>
    <w:p w:rsidR="00FE358D" w:rsidRDefault="00453CE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lastRenderedPageBreak/>
        <w:t>操作方法：</w:t>
      </w:r>
    </w:p>
    <w:p w:rsidR="00FE358D" w:rsidRDefault="00453CED">
      <w:pPr>
        <w:widowControl/>
        <w:numPr>
          <w:ilvl w:val="0"/>
          <w:numId w:val="1"/>
        </w:numPr>
        <w:autoSpaceDE w:val="0"/>
        <w:spacing w:line="400" w:lineRule="exact"/>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将实验所需试剂室温</w:t>
      </w:r>
      <w:proofErr w:type="gramStart"/>
      <w:r>
        <w:rPr>
          <w:rFonts w:ascii="Times New Roman" w:eastAsia="宋体" w:hAnsi="Times New Roman" w:cs="Times New Roman"/>
          <w:color w:val="000000"/>
          <w:kern w:val="0"/>
          <w:sz w:val="24"/>
          <w:lang w:bidi="ar"/>
        </w:rPr>
        <w:t>平衡至</w:t>
      </w:r>
      <w:proofErr w:type="gramEnd"/>
      <w:r>
        <w:rPr>
          <w:rFonts w:ascii="Times New Roman" w:eastAsia="宋体" w:hAnsi="Times New Roman" w:cs="Times New Roman"/>
          <w:color w:val="000000"/>
          <w:kern w:val="0"/>
          <w:sz w:val="24"/>
          <w:lang w:bidi="ar"/>
        </w:rPr>
        <w:t>完全溶解，</w:t>
      </w:r>
      <w:r>
        <w:rPr>
          <w:rFonts w:ascii="Times New Roman" w:eastAsia="宋体" w:hAnsi="Times New Roman" w:cs="Times New Roman"/>
          <w:kern w:val="0"/>
          <w:sz w:val="24"/>
          <w:lang w:bidi="ar"/>
        </w:rPr>
        <w:t>充分温和混匀（请勿涡旋振荡），瞬时离心后使用，避免产生大量气泡，避免反复多次冻融，若经常</w:t>
      </w:r>
      <w:proofErr w:type="gramStart"/>
      <w:r>
        <w:rPr>
          <w:rFonts w:ascii="Times New Roman" w:eastAsia="宋体" w:hAnsi="Times New Roman" w:cs="Times New Roman"/>
          <w:kern w:val="0"/>
          <w:sz w:val="24"/>
          <w:lang w:bidi="ar"/>
        </w:rPr>
        <w:t>使用请</w:t>
      </w:r>
      <w:proofErr w:type="gramEnd"/>
      <w:r>
        <w:rPr>
          <w:rFonts w:ascii="Times New Roman" w:eastAsia="宋体" w:hAnsi="Times New Roman" w:cs="Times New Roman"/>
          <w:kern w:val="0"/>
          <w:sz w:val="24"/>
          <w:lang w:bidi="ar"/>
        </w:rPr>
        <w:t>保存在</w:t>
      </w:r>
      <w:r>
        <w:rPr>
          <w:rFonts w:ascii="Times New Roman" w:eastAsia="宋体" w:hAnsi="Times New Roman" w:cs="Times New Roman"/>
          <w:kern w:val="0"/>
          <w:sz w:val="24"/>
          <w:lang w:bidi="ar"/>
        </w:rPr>
        <w:t>4℃</w:t>
      </w:r>
      <w:r>
        <w:rPr>
          <w:rFonts w:ascii="Times New Roman" w:eastAsia="宋体" w:hAnsi="Times New Roman" w:cs="Times New Roman"/>
          <w:kern w:val="0"/>
          <w:sz w:val="24"/>
          <w:lang w:bidi="ar"/>
        </w:rPr>
        <w:t>。按下</w:t>
      </w:r>
      <w:r>
        <w:rPr>
          <w:rFonts w:ascii="Times New Roman" w:eastAsia="宋体" w:hAnsi="Times New Roman" w:cs="Times New Roman" w:hint="eastAsia"/>
          <w:kern w:val="0"/>
          <w:sz w:val="24"/>
          <w:lang w:bidi="ar"/>
        </w:rPr>
        <w:t>组分配</w:t>
      </w:r>
      <w:r>
        <w:rPr>
          <w:rFonts w:ascii="Times New Roman" w:eastAsia="宋体" w:hAnsi="Times New Roman" w:cs="Times New Roman"/>
          <w:kern w:val="0"/>
          <w:sz w:val="24"/>
          <w:lang w:bidi="ar"/>
        </w:rPr>
        <w:t>制</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反应液（反应液</w:t>
      </w:r>
      <w:proofErr w:type="gramStart"/>
      <w:r>
        <w:rPr>
          <w:rFonts w:ascii="Times New Roman" w:eastAsia="宋体" w:hAnsi="Times New Roman" w:cs="Times New Roman"/>
          <w:kern w:val="0"/>
          <w:sz w:val="24"/>
          <w:lang w:bidi="ar"/>
        </w:rPr>
        <w:t>配制请</w:t>
      </w:r>
      <w:proofErr w:type="gramEnd"/>
      <w:r>
        <w:rPr>
          <w:rFonts w:ascii="Times New Roman" w:eastAsia="宋体" w:hAnsi="Times New Roman" w:cs="Times New Roman"/>
          <w:kern w:val="0"/>
          <w:sz w:val="24"/>
          <w:lang w:bidi="ar"/>
        </w:rPr>
        <w:t>在冰盒上进行）：</w:t>
      </w:r>
    </w:p>
    <w:tbl>
      <w:tblPr>
        <w:tblStyle w:val="a6"/>
        <w:tblW w:w="4994" w:type="pct"/>
        <w:tblLook w:val="04A0" w:firstRow="1" w:lastRow="0" w:firstColumn="1" w:lastColumn="0" w:noHBand="0" w:noVBand="1"/>
      </w:tblPr>
      <w:tblGrid>
        <w:gridCol w:w="4988"/>
        <w:gridCol w:w="2480"/>
        <w:gridCol w:w="2482"/>
      </w:tblGrid>
      <w:tr w:rsidR="00FE358D">
        <w:trPr>
          <w:trHeight w:val="23"/>
        </w:trPr>
        <w:tc>
          <w:tcPr>
            <w:tcW w:w="2505" w:type="pct"/>
            <w:tcBorders>
              <w:top w:val="single" w:sz="4" w:space="0" w:color="auto"/>
              <w:left w:val="nil"/>
              <w:bottom w:val="single" w:sz="4" w:space="0" w:color="auto"/>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试剂</w:t>
            </w:r>
          </w:p>
        </w:tc>
        <w:tc>
          <w:tcPr>
            <w:tcW w:w="1246" w:type="pct"/>
            <w:tcBorders>
              <w:top w:val="single" w:sz="4" w:space="0" w:color="auto"/>
              <w:left w:val="nil"/>
              <w:bottom w:val="single" w:sz="4" w:space="0" w:color="auto"/>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25μL</w:t>
            </w:r>
            <w:r>
              <w:rPr>
                <w:rFonts w:ascii="Times New Roman" w:eastAsia="宋体" w:hAnsi="Times New Roman" w:cs="Times New Roman"/>
                <w:sz w:val="24"/>
              </w:rPr>
              <w:t>体系</w:t>
            </w:r>
          </w:p>
        </w:tc>
        <w:tc>
          <w:tcPr>
            <w:tcW w:w="1247" w:type="pct"/>
            <w:tcBorders>
              <w:top w:val="single" w:sz="4" w:space="0" w:color="auto"/>
              <w:left w:val="nil"/>
              <w:bottom w:val="single" w:sz="4" w:space="0" w:color="auto"/>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终浓度</w:t>
            </w:r>
          </w:p>
        </w:tc>
      </w:tr>
      <w:tr w:rsidR="00FE358D">
        <w:trPr>
          <w:trHeight w:val="23"/>
        </w:trPr>
        <w:tc>
          <w:tcPr>
            <w:tcW w:w="2505" w:type="pct"/>
            <w:tcBorders>
              <w:top w:val="single" w:sz="4" w:space="0" w:color="auto"/>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 xml:space="preserve">× </w:t>
            </w:r>
            <w:r>
              <w:rPr>
                <w:rFonts w:ascii="Times New Roman" w:eastAsia="宋体" w:hAnsi="Times New Roman" w:cs="Times New Roman"/>
                <w:sz w:val="24"/>
              </w:rPr>
              <w:t>Probe qPCR Mix</w:t>
            </w:r>
          </w:p>
        </w:tc>
        <w:tc>
          <w:tcPr>
            <w:tcW w:w="1246" w:type="pct"/>
            <w:tcBorders>
              <w:top w:val="single" w:sz="4" w:space="0" w:color="auto"/>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12.5μL</w:t>
            </w:r>
          </w:p>
        </w:tc>
        <w:tc>
          <w:tcPr>
            <w:tcW w:w="1247" w:type="pct"/>
            <w:tcBorders>
              <w:top w:val="single" w:sz="4" w:space="0" w:color="auto"/>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p>
        </w:tc>
      </w:tr>
      <w:tr w:rsidR="00FE358D">
        <w:trPr>
          <w:trHeight w:val="23"/>
        </w:trPr>
        <w:tc>
          <w:tcPr>
            <w:tcW w:w="2505"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 (10µM)</w:t>
            </w:r>
          </w:p>
        </w:tc>
        <w:tc>
          <w:tcPr>
            <w:tcW w:w="1246"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1247"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FE358D">
        <w:trPr>
          <w:trHeight w:val="23"/>
        </w:trPr>
        <w:tc>
          <w:tcPr>
            <w:tcW w:w="2505"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II (10µM)</w:t>
            </w:r>
          </w:p>
        </w:tc>
        <w:tc>
          <w:tcPr>
            <w:tcW w:w="1246"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1247"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FE358D">
        <w:trPr>
          <w:trHeight w:val="23"/>
        </w:trPr>
        <w:tc>
          <w:tcPr>
            <w:tcW w:w="2505"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Probe (10µM)</w:t>
            </w:r>
          </w:p>
        </w:tc>
        <w:tc>
          <w:tcPr>
            <w:tcW w:w="1246"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0.25-1μL</w:t>
            </w:r>
          </w:p>
        </w:tc>
        <w:tc>
          <w:tcPr>
            <w:tcW w:w="1247"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r w:rsidR="00FE358D">
        <w:trPr>
          <w:trHeight w:val="23"/>
        </w:trPr>
        <w:tc>
          <w:tcPr>
            <w:tcW w:w="2505"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ROX Reference Dye I or ROX Reference Dye II</w:t>
            </w:r>
          </w:p>
        </w:tc>
        <w:tc>
          <w:tcPr>
            <w:tcW w:w="1246"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0.5μL or 0.25μL</w:t>
            </w:r>
          </w:p>
        </w:tc>
        <w:tc>
          <w:tcPr>
            <w:tcW w:w="1247"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p>
        </w:tc>
      </w:tr>
      <w:tr w:rsidR="00FE358D">
        <w:trPr>
          <w:trHeight w:val="23"/>
        </w:trPr>
        <w:tc>
          <w:tcPr>
            <w:tcW w:w="2505"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Template DNA</w:t>
            </w:r>
          </w:p>
        </w:tc>
        <w:tc>
          <w:tcPr>
            <w:tcW w:w="1246"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1-5μL</w:t>
            </w:r>
          </w:p>
        </w:tc>
        <w:tc>
          <w:tcPr>
            <w:tcW w:w="1247" w:type="pct"/>
            <w:tcBorders>
              <w:top w:val="nil"/>
              <w:left w:val="nil"/>
              <w:bottom w:val="nil"/>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r w:rsidR="00FE358D">
        <w:trPr>
          <w:trHeight w:val="23"/>
        </w:trPr>
        <w:tc>
          <w:tcPr>
            <w:tcW w:w="2505" w:type="pct"/>
            <w:tcBorders>
              <w:top w:val="nil"/>
              <w:left w:val="nil"/>
              <w:bottom w:val="single" w:sz="4" w:space="0" w:color="auto"/>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ddH</w:t>
            </w:r>
            <w:r>
              <w:rPr>
                <w:rFonts w:ascii="Times New Roman" w:eastAsia="宋体" w:hAnsi="Times New Roman" w:cs="Times New Roman"/>
                <w:sz w:val="24"/>
                <w:vertAlign w:val="subscript"/>
              </w:rPr>
              <w:t>2</w:t>
            </w:r>
            <w:r>
              <w:rPr>
                <w:rFonts w:ascii="Times New Roman" w:eastAsia="宋体" w:hAnsi="Times New Roman" w:cs="Times New Roman"/>
                <w:sz w:val="24"/>
              </w:rPr>
              <w:t>O</w:t>
            </w:r>
          </w:p>
        </w:tc>
        <w:tc>
          <w:tcPr>
            <w:tcW w:w="1246" w:type="pct"/>
            <w:tcBorders>
              <w:top w:val="nil"/>
              <w:left w:val="nil"/>
              <w:bottom w:val="single" w:sz="4" w:space="0" w:color="auto"/>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Up to 25μL</w:t>
            </w:r>
          </w:p>
        </w:tc>
        <w:tc>
          <w:tcPr>
            <w:tcW w:w="1247" w:type="pct"/>
            <w:tcBorders>
              <w:top w:val="nil"/>
              <w:left w:val="nil"/>
              <w:bottom w:val="single" w:sz="4" w:space="0" w:color="auto"/>
              <w:right w:val="nil"/>
            </w:tcBorders>
            <w:shd w:val="clear" w:color="auto" w:fill="auto"/>
            <w:vAlign w:val="center"/>
          </w:tcPr>
          <w:p w:rsidR="00FE358D" w:rsidRDefault="00453CED">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bl>
    <w:p w:rsidR="00FE358D" w:rsidRDefault="00453CED">
      <w:pPr>
        <w:widowControl/>
        <w:autoSpaceDE w:val="0"/>
        <w:spacing w:line="400" w:lineRule="exact"/>
        <w:jc w:val="left"/>
        <w:rPr>
          <w:rFonts w:ascii="Times New Roman" w:hAnsi="Times New Roman" w:cs="Times New Roman"/>
          <w:spacing w:val="-2"/>
          <w:szCs w:val="21"/>
        </w:rPr>
      </w:pPr>
      <w:r>
        <w:rPr>
          <w:rFonts w:ascii="Times New Roman" w:hAnsi="Times New Roman" w:cs="Times New Roman"/>
          <w:spacing w:val="-2"/>
          <w:szCs w:val="21"/>
        </w:rPr>
        <w:t>注：反应体系中各组分用量可根据实际需求进行调整，</w:t>
      </w:r>
      <w:r>
        <w:rPr>
          <w:rFonts w:ascii="Times New Roman" w:hAnsi="Times New Roman" w:cs="Times New Roman"/>
          <w:spacing w:val="-2"/>
          <w:szCs w:val="21"/>
        </w:rPr>
        <w:t xml:space="preserve">ROX Reference </w:t>
      </w:r>
      <w:r>
        <w:rPr>
          <w:rFonts w:ascii="Times New Roman" w:hAnsi="Times New Roman" w:cs="Times New Roman"/>
          <w:spacing w:val="-2"/>
          <w:szCs w:val="21"/>
        </w:rPr>
        <w:t>Dye</w:t>
      </w:r>
      <w:r>
        <w:rPr>
          <w:rFonts w:ascii="Times New Roman" w:hAnsi="Times New Roman" w:cs="Times New Roman"/>
          <w:spacing w:val="-2"/>
          <w:szCs w:val="21"/>
        </w:rPr>
        <w:t>需要用户根据实际使用的机型选择是否添加。</w:t>
      </w:r>
    </w:p>
    <w:p w:rsidR="00FE358D" w:rsidRDefault="00453CED">
      <w:pPr>
        <w:widowControl/>
        <w:numPr>
          <w:ilvl w:val="0"/>
          <w:numId w:val="1"/>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通常情况下，可以采用两步法进行反应；如果两步法扩增不理想，可以采用三步法设置</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反应程序。</w:t>
      </w:r>
    </w:p>
    <w:tbl>
      <w:tblPr>
        <w:tblStyle w:val="a6"/>
        <w:tblW w:w="0" w:type="auto"/>
        <w:tblLook w:val="04A0" w:firstRow="1" w:lastRow="0" w:firstColumn="1" w:lastColumn="0" w:noHBand="0" w:noVBand="1"/>
      </w:tblPr>
      <w:tblGrid>
        <w:gridCol w:w="2489"/>
        <w:gridCol w:w="2933"/>
        <w:gridCol w:w="2934"/>
        <w:gridCol w:w="1603"/>
      </w:tblGrid>
      <w:tr w:rsidR="00FE358D">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方法</w:t>
            </w:r>
            <w:r>
              <w:rPr>
                <w:rFonts w:ascii="Times New Roman" w:hAnsi="Times New Roman" w:cs="Times New Roman"/>
                <w:bCs/>
                <w:sz w:val="24"/>
              </w:rPr>
              <w:t>/</w:t>
            </w:r>
            <w:r>
              <w:rPr>
                <w:rFonts w:ascii="Times New Roman" w:hAnsi="Times New Roman" w:cs="Times New Roman"/>
                <w:bCs/>
                <w:sz w:val="24"/>
              </w:rPr>
              <w:t>步骤</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两步法</w:t>
            </w:r>
            <w:r>
              <w:rPr>
                <w:rFonts w:ascii="Times New Roman" w:hAnsi="Times New Roman" w:cs="Times New Roman"/>
                <w:bCs/>
                <w:sz w:val="24"/>
              </w:rPr>
              <w:t>real-time PCR</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三步法</w:t>
            </w:r>
            <w:r>
              <w:rPr>
                <w:rFonts w:ascii="Times New Roman" w:hAnsi="Times New Roman" w:cs="Times New Roman"/>
                <w:bCs/>
                <w:sz w:val="24"/>
              </w:rPr>
              <w:t>real-time PCR</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循环数</w:t>
            </w:r>
          </w:p>
        </w:tc>
      </w:tr>
      <w:tr w:rsidR="00FE358D">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（预变性）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1</w:t>
            </w:r>
          </w:p>
        </w:tc>
      </w:tr>
      <w:tr w:rsidR="00FE358D">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35-45Cycles</w:t>
            </w:r>
          </w:p>
        </w:tc>
      </w:tr>
      <w:tr w:rsidR="00FE358D">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55℃-65℃</w:t>
            </w:r>
            <w:r>
              <w:rPr>
                <w:rFonts w:ascii="Times New Roman" w:hAnsi="Times New Roman" w:cs="Times New Roman"/>
                <w:bCs/>
                <w:sz w:val="24"/>
              </w:rPr>
              <w:t>（退火）</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tcBorders>
              <w:top w:val="nil"/>
              <w:left w:val="single" w:sz="4" w:space="0" w:color="auto"/>
              <w:bottom w:val="single" w:sz="4" w:space="0" w:color="auto"/>
              <w:right w:val="single" w:sz="4" w:space="0" w:color="auto"/>
            </w:tcBorders>
            <w:shd w:val="clear" w:color="auto" w:fill="auto"/>
            <w:vAlign w:val="center"/>
          </w:tcPr>
          <w:p w:rsidR="00FE358D" w:rsidRDefault="00FE358D">
            <w:pPr>
              <w:widowControl/>
              <w:spacing w:line="400" w:lineRule="exact"/>
              <w:jc w:val="center"/>
              <w:rPr>
                <w:rFonts w:ascii="Times New Roman" w:hAnsi="Times New Roman" w:cs="Times New Roman"/>
                <w:bCs/>
                <w:sz w:val="24"/>
              </w:rPr>
            </w:pPr>
          </w:p>
        </w:tc>
      </w:tr>
      <w:tr w:rsidR="00FE358D">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72℃</w:t>
            </w:r>
            <w:r>
              <w:rPr>
                <w:rFonts w:ascii="Times New Roman" w:hAnsi="Times New Roman" w:cs="Times New Roman"/>
                <w:bCs/>
                <w:sz w:val="24"/>
              </w:rPr>
              <w:t>（延伸）</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E358D" w:rsidRDefault="00453CED">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1603" w:type="dxa"/>
            <w:vMerge/>
            <w:tcBorders>
              <w:top w:val="nil"/>
              <w:left w:val="single" w:sz="4" w:space="0" w:color="auto"/>
              <w:bottom w:val="single" w:sz="4" w:space="0" w:color="auto"/>
              <w:right w:val="single" w:sz="4" w:space="0" w:color="auto"/>
            </w:tcBorders>
            <w:shd w:val="clear" w:color="auto" w:fill="auto"/>
            <w:vAlign w:val="center"/>
          </w:tcPr>
          <w:p w:rsidR="00FE358D" w:rsidRDefault="00FE358D">
            <w:pPr>
              <w:widowControl/>
              <w:spacing w:line="400" w:lineRule="exact"/>
              <w:jc w:val="center"/>
              <w:rPr>
                <w:rFonts w:ascii="Times New Roman" w:hAnsi="Times New Roman" w:cs="Times New Roman"/>
                <w:bCs/>
                <w:sz w:val="24"/>
              </w:rPr>
            </w:pPr>
          </w:p>
        </w:tc>
      </w:tr>
    </w:tbl>
    <w:p w:rsidR="00FE358D" w:rsidRDefault="00453CED">
      <w:pPr>
        <w:widowControl/>
        <w:autoSpaceDE w:val="0"/>
        <w:spacing w:line="400" w:lineRule="exact"/>
        <w:jc w:val="left"/>
        <w:rPr>
          <w:rFonts w:ascii="Times New Roman" w:eastAsia="宋体" w:hAnsi="Times New Roman" w:cs="Times New Roman"/>
          <w:kern w:val="0"/>
          <w:sz w:val="24"/>
          <w:lang w:bidi="ar"/>
        </w:rPr>
      </w:pPr>
      <w:r>
        <w:rPr>
          <w:rFonts w:ascii="Times New Roman" w:hAnsi="Times New Roman" w:cs="Times New Roman"/>
          <w:spacing w:val="-2"/>
          <w:szCs w:val="21"/>
        </w:rPr>
        <w:t>注：反应条件可以根据实际需求进行适当调整和优化。</w:t>
      </w:r>
    </w:p>
    <w:p w:rsidR="00FE358D" w:rsidRDefault="00453CED">
      <w:pPr>
        <w:widowControl/>
        <w:numPr>
          <w:ilvl w:val="0"/>
          <w:numId w:val="1"/>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反应结束后，对实验结果进行分析。详细分析方法参见</w:t>
      </w:r>
      <w:r>
        <w:rPr>
          <w:rFonts w:ascii="Times New Roman" w:eastAsia="宋体" w:hAnsi="Times New Roman" w:cs="Times New Roman"/>
          <w:kern w:val="0"/>
          <w:sz w:val="24"/>
          <w:lang w:bidi="ar"/>
        </w:rPr>
        <w:t>Real Time PCR</w:t>
      </w:r>
      <w:r>
        <w:rPr>
          <w:rFonts w:ascii="Times New Roman" w:eastAsia="宋体" w:hAnsi="Times New Roman" w:cs="Times New Roman"/>
          <w:kern w:val="0"/>
          <w:sz w:val="24"/>
          <w:lang w:bidi="ar"/>
        </w:rPr>
        <w:t>扩增</w:t>
      </w:r>
      <w:proofErr w:type="gramStart"/>
      <w:r>
        <w:rPr>
          <w:rFonts w:ascii="Times New Roman" w:eastAsia="宋体" w:hAnsi="Times New Roman" w:cs="Times New Roman"/>
          <w:kern w:val="0"/>
          <w:sz w:val="24"/>
          <w:lang w:bidi="ar"/>
        </w:rPr>
        <w:t>仪操作</w:t>
      </w:r>
      <w:proofErr w:type="gramEnd"/>
      <w:r>
        <w:rPr>
          <w:rFonts w:ascii="Times New Roman" w:eastAsia="宋体" w:hAnsi="Times New Roman" w:cs="Times New Roman"/>
          <w:kern w:val="0"/>
          <w:sz w:val="24"/>
          <w:lang w:bidi="ar"/>
        </w:rPr>
        <w:t>手册。</w:t>
      </w:r>
      <w:r>
        <w:rPr>
          <w:rFonts w:ascii="Times New Roman" w:eastAsia="宋体" w:hAnsi="Times New Roman" w:cs="Times New Roman"/>
          <w:kern w:val="0"/>
          <w:sz w:val="24"/>
          <w:lang w:bidi="ar"/>
        </w:rPr>
        <w:t xml:space="preserve"> </w:t>
      </w:r>
    </w:p>
    <w:p w:rsidR="00FE358D" w:rsidRDefault="00453CE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注意事项：</w:t>
      </w:r>
    </w:p>
    <w:p w:rsidR="00FE358D" w:rsidRDefault="00453CED">
      <w:pPr>
        <w:widowControl/>
        <w:numPr>
          <w:ilvl w:val="0"/>
          <w:numId w:val="2"/>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使用的引物终浓度可在</w:t>
      </w:r>
      <w:r>
        <w:rPr>
          <w:rFonts w:ascii="Times New Roman" w:eastAsia="宋体" w:hAnsi="Times New Roman" w:cs="Times New Roman"/>
          <w:kern w:val="0"/>
          <w:sz w:val="24"/>
          <w:lang w:bidi="ar"/>
        </w:rPr>
        <w:t>0.2-1.0μM</w:t>
      </w:r>
      <w:r>
        <w:rPr>
          <w:rFonts w:ascii="Times New Roman" w:eastAsia="宋体" w:hAnsi="Times New Roman" w:cs="Times New Roman"/>
          <w:kern w:val="0"/>
          <w:sz w:val="24"/>
          <w:lang w:bidi="ar"/>
        </w:rPr>
        <w:t>范围内调整，</w:t>
      </w:r>
      <w:r>
        <w:rPr>
          <w:rFonts w:ascii="Times New Roman" w:eastAsia="宋体" w:hAnsi="Times New Roman" w:cs="Times New Roman"/>
          <w:kern w:val="0"/>
          <w:sz w:val="24"/>
          <w:lang w:bidi="ar"/>
        </w:rPr>
        <w:t>DNA</w:t>
      </w:r>
      <w:r>
        <w:rPr>
          <w:rFonts w:ascii="Times New Roman" w:eastAsia="宋体" w:hAnsi="Times New Roman" w:cs="Times New Roman"/>
          <w:kern w:val="0"/>
          <w:sz w:val="24"/>
          <w:lang w:bidi="ar"/>
        </w:rPr>
        <w:t>模板可根据浓度进行适当调整。</w:t>
      </w:r>
      <w:r>
        <w:rPr>
          <w:rFonts w:ascii="Times New Roman" w:eastAsia="宋体" w:hAnsi="Times New Roman" w:cs="Times New Roman"/>
          <w:kern w:val="0"/>
          <w:sz w:val="24"/>
          <w:lang w:bidi="ar"/>
        </w:rPr>
        <w:t xml:space="preserve"> </w:t>
      </w:r>
    </w:p>
    <w:p w:rsidR="00FE358D" w:rsidRDefault="00453CED">
      <w:pPr>
        <w:widowControl/>
        <w:numPr>
          <w:ilvl w:val="0"/>
          <w:numId w:val="2"/>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请根据引物选择合适的退火（延伸）温度。通常引物的</w:t>
      </w:r>
      <w:r>
        <w:rPr>
          <w:rFonts w:ascii="Times New Roman" w:eastAsia="宋体" w:hAnsi="Times New Roman" w:cs="Times New Roman"/>
          <w:kern w:val="0"/>
          <w:sz w:val="24"/>
          <w:lang w:bidi="ar"/>
        </w:rPr>
        <w:t>Tm</w:t>
      </w:r>
      <w:proofErr w:type="gramStart"/>
      <w:r>
        <w:rPr>
          <w:rFonts w:ascii="Times New Roman" w:eastAsia="宋体" w:hAnsi="Times New Roman" w:cs="Times New Roman"/>
          <w:kern w:val="0"/>
          <w:sz w:val="24"/>
          <w:lang w:bidi="ar"/>
        </w:rPr>
        <w:t>值设计</w:t>
      </w:r>
      <w:proofErr w:type="gramEnd"/>
      <w:r>
        <w:rPr>
          <w:rFonts w:ascii="Times New Roman" w:eastAsia="宋体" w:hAnsi="Times New Roman" w:cs="Times New Roman"/>
          <w:kern w:val="0"/>
          <w:sz w:val="24"/>
          <w:lang w:bidi="ar"/>
        </w:rPr>
        <w:t>在</w:t>
      </w:r>
      <w:r>
        <w:rPr>
          <w:rFonts w:ascii="Times New Roman" w:eastAsia="宋体" w:hAnsi="Times New Roman" w:cs="Times New Roman"/>
          <w:kern w:val="0"/>
          <w:sz w:val="24"/>
          <w:lang w:bidi="ar"/>
        </w:rPr>
        <w:t>60℃</w:t>
      </w:r>
      <w:r>
        <w:rPr>
          <w:rFonts w:ascii="Times New Roman" w:eastAsia="宋体" w:hAnsi="Times New Roman" w:cs="Times New Roman"/>
          <w:kern w:val="0"/>
          <w:sz w:val="24"/>
          <w:lang w:bidi="ar"/>
        </w:rPr>
        <w:t>左右。对于退火温度较低的引物或超过</w:t>
      </w:r>
      <w:r>
        <w:rPr>
          <w:rFonts w:ascii="Times New Roman" w:eastAsia="宋体" w:hAnsi="Times New Roman" w:cs="Times New Roman"/>
          <w:kern w:val="0"/>
          <w:sz w:val="24"/>
          <w:lang w:bidi="ar"/>
        </w:rPr>
        <w:t>200bp</w:t>
      </w:r>
      <w:r>
        <w:rPr>
          <w:rFonts w:ascii="Times New Roman" w:eastAsia="宋体" w:hAnsi="Times New Roman" w:cs="Times New Roman"/>
          <w:kern w:val="0"/>
          <w:sz w:val="24"/>
          <w:lang w:bidi="ar"/>
        </w:rPr>
        <w:t>的长片段扩增，建议采用三步法。</w:t>
      </w:r>
      <w:r>
        <w:rPr>
          <w:rFonts w:ascii="Times New Roman" w:eastAsia="宋体" w:hAnsi="Times New Roman" w:cs="Times New Roman"/>
          <w:kern w:val="0"/>
          <w:sz w:val="24"/>
          <w:lang w:bidi="ar"/>
        </w:rPr>
        <w:t xml:space="preserve"> </w:t>
      </w:r>
    </w:p>
    <w:p w:rsidR="00FE358D" w:rsidRDefault="00453CED">
      <w:pPr>
        <w:widowControl/>
        <w:numPr>
          <w:ilvl w:val="0"/>
          <w:numId w:val="2"/>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使用的探针浓度可在</w:t>
      </w:r>
      <w:r>
        <w:rPr>
          <w:rFonts w:ascii="Times New Roman" w:eastAsia="宋体" w:hAnsi="Times New Roman" w:cs="Times New Roman"/>
          <w:kern w:val="0"/>
          <w:sz w:val="24"/>
          <w:lang w:bidi="ar"/>
        </w:rPr>
        <w:t>0.1-0.4μM</w:t>
      </w:r>
      <w:r>
        <w:rPr>
          <w:rFonts w:ascii="Times New Roman" w:eastAsia="宋体" w:hAnsi="Times New Roman" w:cs="Times New Roman"/>
          <w:kern w:val="0"/>
          <w:sz w:val="24"/>
          <w:lang w:bidi="ar"/>
        </w:rPr>
        <w:t>范围内优化。可进行浓度梯度的实验，寻找引物和探针的最佳组合。探针的使用与</w:t>
      </w:r>
      <w:r>
        <w:rPr>
          <w:rFonts w:ascii="Times New Roman" w:eastAsia="宋体" w:hAnsi="Times New Roman" w:cs="Times New Roman"/>
          <w:kern w:val="0"/>
          <w:sz w:val="24"/>
          <w:lang w:bidi="ar"/>
        </w:rPr>
        <w:t xml:space="preserve">Real </w:t>
      </w:r>
      <w:r>
        <w:rPr>
          <w:rFonts w:ascii="Times New Roman" w:eastAsia="宋体" w:hAnsi="Times New Roman" w:cs="Times New Roman"/>
          <w:kern w:val="0"/>
          <w:sz w:val="24"/>
          <w:lang w:bidi="ar"/>
        </w:rPr>
        <w:t>Time PCR</w:t>
      </w:r>
      <w:r>
        <w:rPr>
          <w:rFonts w:ascii="Times New Roman" w:eastAsia="宋体" w:hAnsi="Times New Roman" w:cs="Times New Roman"/>
          <w:kern w:val="0"/>
          <w:sz w:val="24"/>
          <w:lang w:bidi="ar"/>
        </w:rPr>
        <w:t>扩增仪、探针种类、荧光标记物质种类有关，请参照仪器说明书或各荧光探针的具体使用要求进行调整。</w:t>
      </w:r>
    </w:p>
    <w:p w:rsidR="00FE358D" w:rsidRDefault="00453CED">
      <w:pPr>
        <w:widowControl/>
        <w:numPr>
          <w:ilvl w:val="0"/>
          <w:numId w:val="2"/>
        </w:numPr>
        <w:autoSpaceDE w:val="0"/>
        <w:spacing w:line="400" w:lineRule="exact"/>
        <w:ind w:firstLineChars="200" w:firstLine="480"/>
        <w:jc w:val="left"/>
        <w:rPr>
          <w:rFonts w:ascii="Times New Roman" w:hAnsi="Times New Roman" w:cs="Times New Roman"/>
        </w:rPr>
      </w:pPr>
      <w:r>
        <w:rPr>
          <w:rFonts w:ascii="Times New Roman" w:eastAsia="宋体" w:hAnsi="Times New Roman" w:cs="Times New Roman"/>
          <w:color w:val="000000"/>
          <w:kern w:val="0"/>
          <w:sz w:val="24"/>
          <w:lang w:bidi="ar"/>
        </w:rPr>
        <w:t>扩增前后要使用专用的区域和</w:t>
      </w:r>
      <w:proofErr w:type="gramStart"/>
      <w:r>
        <w:rPr>
          <w:rFonts w:ascii="Times New Roman" w:eastAsia="宋体" w:hAnsi="Times New Roman" w:cs="Times New Roman"/>
          <w:color w:val="000000"/>
          <w:kern w:val="0"/>
          <w:sz w:val="24"/>
          <w:lang w:bidi="ar"/>
        </w:rPr>
        <w:t>移液</w:t>
      </w:r>
      <w:proofErr w:type="gramEnd"/>
      <w:r>
        <w:rPr>
          <w:rFonts w:ascii="Times New Roman" w:eastAsia="宋体" w:hAnsi="Times New Roman" w:cs="Times New Roman"/>
          <w:color w:val="000000"/>
          <w:kern w:val="0"/>
          <w:sz w:val="24"/>
          <w:lang w:bidi="ar"/>
        </w:rPr>
        <w:t>器，戴手套操作并经常更换，</w:t>
      </w:r>
      <w:r>
        <w:rPr>
          <w:rFonts w:ascii="Times New Roman" w:eastAsia="宋体" w:hAnsi="Times New Roman" w:cs="Times New Roman"/>
          <w:sz w:val="24"/>
        </w:rPr>
        <w:t>PCR</w:t>
      </w:r>
      <w:r>
        <w:rPr>
          <w:rFonts w:ascii="Times New Roman" w:eastAsia="宋体" w:hAnsi="Times New Roman" w:cs="Times New Roman"/>
          <w:sz w:val="24"/>
        </w:rPr>
        <w:t>反应完成后切勿直接打开反应管，可放于</w:t>
      </w:r>
      <w:r>
        <w:rPr>
          <w:rFonts w:ascii="Times New Roman" w:eastAsia="宋体" w:hAnsi="Times New Roman" w:cs="Times New Roman"/>
          <w:sz w:val="24"/>
        </w:rPr>
        <w:t>4℃</w:t>
      </w:r>
      <w:r>
        <w:rPr>
          <w:rFonts w:ascii="Times New Roman" w:eastAsia="宋体" w:hAnsi="Times New Roman" w:cs="Times New Roman"/>
          <w:sz w:val="24"/>
        </w:rPr>
        <w:t>或者</w:t>
      </w:r>
      <w:r>
        <w:rPr>
          <w:rFonts w:ascii="Times New Roman" w:eastAsia="宋体" w:hAnsi="Times New Roman" w:cs="Times New Roman"/>
          <w:sz w:val="24"/>
        </w:rPr>
        <w:t>-20℃</w:t>
      </w:r>
      <w:r>
        <w:rPr>
          <w:rFonts w:ascii="Times New Roman" w:eastAsia="宋体" w:hAnsi="Times New Roman" w:cs="Times New Roman"/>
          <w:sz w:val="24"/>
        </w:rPr>
        <w:t>充分冷却后再进行开盖操作，以最大限度的减少</w:t>
      </w:r>
      <w:r>
        <w:rPr>
          <w:rFonts w:ascii="Times New Roman" w:eastAsia="宋体" w:hAnsi="Times New Roman" w:cs="Times New Roman"/>
          <w:sz w:val="24"/>
        </w:rPr>
        <w:t>PCR</w:t>
      </w:r>
      <w:r>
        <w:rPr>
          <w:rFonts w:ascii="Times New Roman" w:eastAsia="宋体" w:hAnsi="Times New Roman" w:cs="Times New Roman"/>
          <w:sz w:val="24"/>
        </w:rPr>
        <w:t>产物可能对实验环境产生污染的风险</w:t>
      </w:r>
      <w:r>
        <w:rPr>
          <w:rFonts w:ascii="Times New Roman" w:eastAsia="宋体" w:hAnsi="Times New Roman" w:cs="Times New Roman"/>
          <w:kern w:val="0"/>
          <w:sz w:val="24"/>
          <w:lang w:bidi="ar"/>
        </w:rPr>
        <w:t>。</w:t>
      </w:r>
    </w:p>
    <w:sectPr w:rsidR="00FE358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CED" w:rsidRDefault="00453CED">
      <w:r>
        <w:separator/>
      </w:r>
    </w:p>
  </w:endnote>
  <w:endnote w:type="continuationSeparator" w:id="0">
    <w:p w:rsidR="00453CED" w:rsidRDefault="0045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8C" w:rsidRDefault="00983F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8D" w:rsidRDefault="00FE358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8C" w:rsidRDefault="00983F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CED" w:rsidRDefault="00453CED">
      <w:r>
        <w:separator/>
      </w:r>
    </w:p>
  </w:footnote>
  <w:footnote w:type="continuationSeparator" w:id="0">
    <w:p w:rsidR="00453CED" w:rsidRDefault="00453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8C" w:rsidRDefault="00983F8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8D" w:rsidRDefault="00453CED">
    <w:pPr>
      <w:pStyle w:val="a5"/>
    </w:pPr>
    <w:bookmarkStart w:id="0" w:name="_GoBack"/>
    <w:bookmarkEnd w:id="0"/>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8C" w:rsidRDefault="00983F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B424F"/>
    <w:multiLevelType w:val="singleLevel"/>
    <w:tmpl w:val="E25B424F"/>
    <w:lvl w:ilvl="0">
      <w:start w:val="1"/>
      <w:numFmt w:val="decimal"/>
      <w:suff w:val="space"/>
      <w:lvlText w:val="%1."/>
      <w:lvlJc w:val="left"/>
    </w:lvl>
  </w:abstractNum>
  <w:abstractNum w:abstractNumId="1">
    <w:nsid w:val="7F148535"/>
    <w:multiLevelType w:val="singleLevel"/>
    <w:tmpl w:val="7F148535"/>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FE358D"/>
    <w:rsid w:val="000A71EE"/>
    <w:rsid w:val="00453CED"/>
    <w:rsid w:val="00983F8C"/>
    <w:rsid w:val="00FE358D"/>
    <w:rsid w:val="012074A4"/>
    <w:rsid w:val="01730D53"/>
    <w:rsid w:val="0239547A"/>
    <w:rsid w:val="03372B16"/>
    <w:rsid w:val="04674A3A"/>
    <w:rsid w:val="05410FC1"/>
    <w:rsid w:val="071B4C37"/>
    <w:rsid w:val="091B4E56"/>
    <w:rsid w:val="09B46D46"/>
    <w:rsid w:val="09FB2368"/>
    <w:rsid w:val="0C525237"/>
    <w:rsid w:val="0CA56122"/>
    <w:rsid w:val="0CA8167A"/>
    <w:rsid w:val="0CB50662"/>
    <w:rsid w:val="0CD17F9E"/>
    <w:rsid w:val="0D0E70DF"/>
    <w:rsid w:val="0D5F45D9"/>
    <w:rsid w:val="0E2E0248"/>
    <w:rsid w:val="0EAE50CB"/>
    <w:rsid w:val="0F8A7463"/>
    <w:rsid w:val="105B0C8D"/>
    <w:rsid w:val="10AF663F"/>
    <w:rsid w:val="10E72496"/>
    <w:rsid w:val="125123E7"/>
    <w:rsid w:val="13884819"/>
    <w:rsid w:val="138B2994"/>
    <w:rsid w:val="16B05F19"/>
    <w:rsid w:val="16E96798"/>
    <w:rsid w:val="19082631"/>
    <w:rsid w:val="19720CC7"/>
    <w:rsid w:val="19AC71F3"/>
    <w:rsid w:val="1A044257"/>
    <w:rsid w:val="1A374A56"/>
    <w:rsid w:val="1AB04381"/>
    <w:rsid w:val="1F320CD8"/>
    <w:rsid w:val="1FF63B2C"/>
    <w:rsid w:val="202478AD"/>
    <w:rsid w:val="21A00317"/>
    <w:rsid w:val="22556D6A"/>
    <w:rsid w:val="231A006B"/>
    <w:rsid w:val="23450889"/>
    <w:rsid w:val="2771308E"/>
    <w:rsid w:val="29CA60A8"/>
    <w:rsid w:val="2BFE3231"/>
    <w:rsid w:val="302E785B"/>
    <w:rsid w:val="324056DF"/>
    <w:rsid w:val="34766DCF"/>
    <w:rsid w:val="35447F8D"/>
    <w:rsid w:val="358D0F0B"/>
    <w:rsid w:val="35F068AA"/>
    <w:rsid w:val="37340F35"/>
    <w:rsid w:val="377F1F6E"/>
    <w:rsid w:val="38001118"/>
    <w:rsid w:val="39BF14F6"/>
    <w:rsid w:val="3AE15F1B"/>
    <w:rsid w:val="3AEE7586"/>
    <w:rsid w:val="3B5B0F3E"/>
    <w:rsid w:val="3BF7185A"/>
    <w:rsid w:val="3D3F5603"/>
    <w:rsid w:val="3F435BC1"/>
    <w:rsid w:val="3FD71FD3"/>
    <w:rsid w:val="3FDD2148"/>
    <w:rsid w:val="40787B48"/>
    <w:rsid w:val="408B354F"/>
    <w:rsid w:val="438F528D"/>
    <w:rsid w:val="448B4882"/>
    <w:rsid w:val="49F80122"/>
    <w:rsid w:val="4B4711F0"/>
    <w:rsid w:val="4B485BA6"/>
    <w:rsid w:val="4D1711C1"/>
    <w:rsid w:val="4DA0397A"/>
    <w:rsid w:val="4EB45736"/>
    <w:rsid w:val="4EDD569B"/>
    <w:rsid w:val="4EDD5EE3"/>
    <w:rsid w:val="4F150182"/>
    <w:rsid w:val="4FA77519"/>
    <w:rsid w:val="519D1BB8"/>
    <w:rsid w:val="51DD405E"/>
    <w:rsid w:val="53277CA7"/>
    <w:rsid w:val="532E1A8F"/>
    <w:rsid w:val="542B4307"/>
    <w:rsid w:val="54710F99"/>
    <w:rsid w:val="54B94DA4"/>
    <w:rsid w:val="55F84612"/>
    <w:rsid w:val="57034A09"/>
    <w:rsid w:val="58D32749"/>
    <w:rsid w:val="590B1EC1"/>
    <w:rsid w:val="5AC86291"/>
    <w:rsid w:val="5B783B11"/>
    <w:rsid w:val="5D7C065F"/>
    <w:rsid w:val="5D8114B1"/>
    <w:rsid w:val="5EB46D84"/>
    <w:rsid w:val="5ECA0EDF"/>
    <w:rsid w:val="604663A9"/>
    <w:rsid w:val="61071063"/>
    <w:rsid w:val="61B943D3"/>
    <w:rsid w:val="62AB7E4E"/>
    <w:rsid w:val="635973E4"/>
    <w:rsid w:val="65605ABA"/>
    <w:rsid w:val="65772EB2"/>
    <w:rsid w:val="66AE3D8B"/>
    <w:rsid w:val="67E8720F"/>
    <w:rsid w:val="68283A50"/>
    <w:rsid w:val="68EE777B"/>
    <w:rsid w:val="6918002D"/>
    <w:rsid w:val="6DB723DB"/>
    <w:rsid w:val="6E6D05A9"/>
    <w:rsid w:val="6EF566F9"/>
    <w:rsid w:val="6F3D4C92"/>
    <w:rsid w:val="708446DD"/>
    <w:rsid w:val="71FD3196"/>
    <w:rsid w:val="72924FE4"/>
    <w:rsid w:val="7521355C"/>
    <w:rsid w:val="76424E1E"/>
    <w:rsid w:val="7B4E45C4"/>
    <w:rsid w:val="7BCF7EF3"/>
    <w:rsid w:val="7CCC746D"/>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3E89609D94EB4029B8D425D6B8C762C0</vt:lpwstr>
  </property>
</Properties>
</file>