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F01313">
        <w:trPr>
          <w:trHeight w:val="385"/>
          <w:jc w:val="center"/>
        </w:trPr>
        <w:tc>
          <w:tcPr>
            <w:tcW w:w="10140" w:type="dxa"/>
            <w:tcBorders>
              <w:tl2br w:val="nil"/>
              <w:tr2bl w:val="nil"/>
            </w:tcBorders>
          </w:tcPr>
          <w:p w:rsidR="00F01313" w:rsidRDefault="0077771D">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F01313" w:rsidRDefault="0077771D">
      <w:pPr>
        <w:spacing w:line="400" w:lineRule="exact"/>
        <w:jc w:val="center"/>
        <w:rPr>
          <w:rFonts w:ascii="Times New Roman" w:eastAsia="微软雅黑" w:hAnsi="Times New Roman" w:cs="Times New Roman"/>
          <w:b/>
          <w:bCs/>
          <w:sz w:val="28"/>
          <w:szCs w:val="28"/>
        </w:rPr>
      </w:pPr>
      <w:proofErr w:type="spellStart"/>
      <w:r>
        <w:rPr>
          <w:rFonts w:ascii="Times New Roman" w:eastAsia="微软雅黑" w:hAnsi="Times New Roman" w:cs="Times New Roman"/>
          <w:b/>
          <w:sz w:val="36"/>
          <w:szCs w:val="36"/>
        </w:rPr>
        <w:t>Taq</w:t>
      </w:r>
      <w:proofErr w:type="spellEnd"/>
      <w:r>
        <w:rPr>
          <w:rFonts w:ascii="Times New Roman" w:eastAsia="微软雅黑" w:hAnsi="Times New Roman" w:cs="Times New Roman"/>
          <w:b/>
          <w:sz w:val="36"/>
          <w:szCs w:val="36"/>
        </w:rPr>
        <w:t xml:space="preserve"> Hot-Start DNA </w:t>
      </w:r>
      <w:proofErr w:type="gramStart"/>
      <w:r>
        <w:rPr>
          <w:rFonts w:ascii="Times New Roman" w:eastAsia="微软雅黑" w:hAnsi="Times New Roman" w:cs="Times New Roman"/>
          <w:b/>
          <w:sz w:val="36"/>
          <w:szCs w:val="36"/>
        </w:rPr>
        <w:t>Polymerase</w:t>
      </w:r>
      <w:proofErr w:type="gramEnd"/>
    </w:p>
    <w:p w:rsidR="00F01313" w:rsidRDefault="0077771D" w:rsidP="00787220">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EH001           </w:t>
      </w:r>
      <w:r>
        <w:rPr>
          <w:rFonts w:ascii="Times New Roman" w:eastAsia="黑体" w:hAnsi="Times New Roman" w:cs="Times New Roman"/>
          <w:b/>
          <w:bCs/>
          <w:sz w:val="28"/>
          <w:szCs w:val="28"/>
        </w:rPr>
        <w:t>规格：</w:t>
      </w:r>
      <w:r>
        <w:rPr>
          <w:rFonts w:ascii="Times New Roman" w:eastAsia="黑体" w:hAnsi="Times New Roman" w:cs="Times New Roman"/>
          <w:b/>
          <w:bCs/>
          <w:sz w:val="28"/>
          <w:szCs w:val="28"/>
        </w:rPr>
        <w:t xml:space="preserve">500U/1000U/5000U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F01313" w:rsidRDefault="0077771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本产品是抗体封闭型热启动酶，可抑制低温条件下由引物的非特异性退火或引物二聚体引起的非特异性扩增，适用于</w:t>
      </w:r>
      <w:r>
        <w:rPr>
          <w:rFonts w:ascii="Times New Roman" w:eastAsia="宋体" w:hAnsi="Times New Roman" w:cs="Times New Roman"/>
          <w:color w:val="000000"/>
          <w:kern w:val="0"/>
          <w:sz w:val="24"/>
          <w:lang w:bidi="ar"/>
        </w:rPr>
        <w:t xml:space="preserve">Hot Start </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。由于抗体在</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反应最初的</w:t>
      </w:r>
      <w:r>
        <w:rPr>
          <w:rFonts w:ascii="Times New Roman" w:eastAsia="宋体" w:hAnsi="Times New Roman" w:cs="Times New Roman"/>
          <w:color w:val="000000"/>
          <w:kern w:val="0"/>
          <w:sz w:val="24"/>
          <w:lang w:bidi="ar"/>
        </w:rPr>
        <w:t>DNA</w:t>
      </w:r>
      <w:r>
        <w:rPr>
          <w:rFonts w:ascii="Times New Roman" w:eastAsia="宋体" w:hAnsi="Times New Roman" w:cs="Times New Roman"/>
          <w:color w:val="000000"/>
          <w:kern w:val="0"/>
          <w:sz w:val="24"/>
          <w:lang w:bidi="ar"/>
        </w:rPr>
        <w:t>变性步骤已失活，因此无需特殊灭活处理，在常规</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反应条件下即可使用。使用本产品扩增得到的</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产物</w:t>
      </w:r>
      <w:r>
        <w:rPr>
          <w:rFonts w:ascii="Times New Roman" w:eastAsia="宋体" w:hAnsi="Times New Roman" w:cs="Times New Roman"/>
          <w:color w:val="000000"/>
          <w:kern w:val="0"/>
          <w:sz w:val="24"/>
          <w:lang w:bidi="ar"/>
        </w:rPr>
        <w:t>3</w:t>
      </w:r>
      <w:proofErr w:type="gramStart"/>
      <w:r>
        <w:rPr>
          <w:rFonts w:ascii="Times New Roman" w:eastAsia="宋体" w:hAnsi="Times New Roman" w:cs="Times New Roman"/>
          <w:color w:val="000000"/>
          <w:kern w:val="0"/>
          <w:sz w:val="24"/>
          <w:lang w:bidi="ar"/>
        </w:rPr>
        <w:t>’</w:t>
      </w:r>
      <w:proofErr w:type="gramEnd"/>
      <w:r>
        <w:rPr>
          <w:rFonts w:ascii="Times New Roman" w:eastAsia="宋体" w:hAnsi="Times New Roman" w:cs="Times New Roman"/>
          <w:color w:val="000000"/>
          <w:kern w:val="0"/>
          <w:sz w:val="24"/>
          <w:lang w:bidi="ar"/>
        </w:rPr>
        <w:t>端附有一个</w:t>
      </w:r>
      <w:r>
        <w:rPr>
          <w:rFonts w:ascii="宋体" w:eastAsia="宋体" w:hAnsi="宋体" w:cs="宋体" w:hint="eastAsia"/>
          <w:color w:val="000000"/>
          <w:kern w:val="0"/>
          <w:sz w:val="24"/>
          <w:lang w:bidi="ar"/>
        </w:rPr>
        <w:t>“</w:t>
      </w:r>
      <w:r>
        <w:rPr>
          <w:rFonts w:ascii="Times New Roman" w:eastAsia="宋体" w:hAnsi="Times New Roman" w:cs="Times New Roman"/>
          <w:color w:val="000000"/>
          <w:kern w:val="0"/>
          <w:sz w:val="24"/>
          <w:lang w:bidi="ar"/>
        </w:rPr>
        <w:t>A</w:t>
      </w:r>
      <w:r>
        <w:rPr>
          <w:rFonts w:ascii="宋体" w:eastAsia="宋体" w:hAnsi="宋体" w:cs="宋体" w:hint="eastAsia"/>
          <w:color w:val="000000"/>
          <w:kern w:val="0"/>
          <w:sz w:val="24"/>
          <w:lang w:bidi="ar"/>
        </w:rPr>
        <w:t>”</w:t>
      </w:r>
      <w:r>
        <w:rPr>
          <w:rFonts w:ascii="Times New Roman" w:eastAsia="宋体" w:hAnsi="Times New Roman" w:cs="Times New Roman"/>
          <w:color w:val="000000"/>
          <w:kern w:val="0"/>
          <w:sz w:val="24"/>
          <w:lang w:bidi="ar"/>
        </w:rPr>
        <w:t>碱基，因此可直接克隆于</w:t>
      </w:r>
      <w:r>
        <w:rPr>
          <w:rFonts w:ascii="Times New Roman" w:eastAsia="宋体" w:hAnsi="Times New Roman" w:cs="Times New Roman"/>
          <w:color w:val="000000"/>
          <w:kern w:val="0"/>
          <w:sz w:val="24"/>
          <w:lang w:bidi="ar"/>
        </w:rPr>
        <w:t>T-Vector</w:t>
      </w:r>
      <w:r>
        <w:rPr>
          <w:rFonts w:ascii="Times New Roman" w:eastAsia="宋体" w:hAnsi="Times New Roman" w:cs="Times New Roman"/>
          <w:color w:val="000000"/>
          <w:kern w:val="0"/>
          <w:sz w:val="24"/>
          <w:lang w:bidi="ar"/>
        </w:rPr>
        <w:t>中；也可以在末端平滑化和磷酸化后克隆到平滑末端载体中。</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5"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022"/>
        <w:gridCol w:w="1839"/>
        <w:gridCol w:w="1951"/>
        <w:gridCol w:w="1924"/>
      </w:tblGrid>
      <w:tr w:rsidR="00F01313">
        <w:trPr>
          <w:trHeight w:val="283"/>
        </w:trPr>
        <w:tc>
          <w:tcPr>
            <w:tcW w:w="206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组分</w:t>
            </w:r>
          </w:p>
        </w:tc>
        <w:tc>
          <w:tcPr>
            <w:tcW w:w="94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EH001-01</w:t>
            </w:r>
            <w:r>
              <w:rPr>
                <w:rFonts w:ascii="Times New Roman" w:hAnsi="Times New Roman" w:cs="Times New Roman"/>
                <w:sz w:val="24"/>
              </w:rPr>
              <w:t>（</w:t>
            </w:r>
            <w:r>
              <w:rPr>
                <w:rFonts w:ascii="Times New Roman" w:hAnsi="Times New Roman" w:cs="Times New Roman"/>
                <w:sz w:val="24"/>
              </w:rPr>
              <w:t>500U</w:t>
            </w:r>
            <w:r>
              <w:rPr>
                <w:rFonts w:ascii="Times New Roman" w:hAnsi="Times New Roman" w:cs="Times New Roman"/>
                <w:sz w:val="24"/>
              </w:rPr>
              <w:t>）</w:t>
            </w:r>
          </w:p>
        </w:tc>
        <w:tc>
          <w:tcPr>
            <w:tcW w:w="1002"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EH001-02</w:t>
            </w:r>
            <w:r>
              <w:rPr>
                <w:rFonts w:ascii="Times New Roman" w:hAnsi="Times New Roman" w:cs="Times New Roman"/>
                <w:sz w:val="24"/>
              </w:rPr>
              <w:t>（</w:t>
            </w:r>
            <w:r>
              <w:rPr>
                <w:rFonts w:ascii="Times New Roman" w:hAnsi="Times New Roman" w:cs="Times New Roman"/>
                <w:sz w:val="24"/>
              </w:rPr>
              <w:t>1000U</w:t>
            </w:r>
            <w:r>
              <w:rPr>
                <w:rFonts w:ascii="Times New Roman" w:hAnsi="Times New Roman" w:cs="Times New Roman"/>
                <w:sz w:val="24"/>
              </w:rPr>
              <w:t>）</w:t>
            </w:r>
          </w:p>
        </w:tc>
        <w:tc>
          <w:tcPr>
            <w:tcW w:w="988"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EH001-03</w:t>
            </w:r>
            <w:r>
              <w:rPr>
                <w:rFonts w:ascii="Times New Roman" w:hAnsi="Times New Roman" w:cs="Times New Roman"/>
                <w:sz w:val="24"/>
              </w:rPr>
              <w:t>（</w:t>
            </w:r>
            <w:r>
              <w:rPr>
                <w:rFonts w:ascii="Times New Roman" w:hAnsi="Times New Roman" w:cs="Times New Roman"/>
                <w:sz w:val="24"/>
              </w:rPr>
              <w:t>5000U</w:t>
            </w:r>
            <w:r>
              <w:rPr>
                <w:rFonts w:ascii="Times New Roman" w:hAnsi="Times New Roman" w:cs="Times New Roman"/>
                <w:sz w:val="24"/>
              </w:rPr>
              <w:t>）</w:t>
            </w:r>
          </w:p>
        </w:tc>
      </w:tr>
      <w:tr w:rsidR="00F01313">
        <w:trPr>
          <w:trHeight w:val="283"/>
        </w:trPr>
        <w:tc>
          <w:tcPr>
            <w:tcW w:w="2064" w:type="pct"/>
            <w:tcBorders>
              <w:left w:val="nil"/>
              <w:right w:val="nil"/>
            </w:tcBorders>
            <w:vAlign w:val="center"/>
          </w:tcPr>
          <w:p w:rsidR="00F01313" w:rsidRDefault="0077771D">
            <w:pPr>
              <w:spacing w:line="480" w:lineRule="exact"/>
              <w:jc w:val="center"/>
              <w:rPr>
                <w:rFonts w:ascii="Times New Roman" w:hAnsi="Times New Roman" w:cs="Times New Roman"/>
                <w:sz w:val="24"/>
              </w:rPr>
            </w:pPr>
            <w:proofErr w:type="spellStart"/>
            <w:r>
              <w:rPr>
                <w:rFonts w:ascii="Times New Roman" w:hAnsi="Times New Roman" w:cs="Times New Roman"/>
                <w:sz w:val="24"/>
              </w:rPr>
              <w:t>Taq</w:t>
            </w:r>
            <w:proofErr w:type="spellEnd"/>
            <w:r>
              <w:rPr>
                <w:rFonts w:ascii="Times New Roman" w:hAnsi="Times New Roman" w:cs="Times New Roman"/>
                <w:sz w:val="24"/>
              </w:rPr>
              <w:t xml:space="preserve"> Hot-Start DNA Polymerase</w:t>
            </w:r>
            <w:r>
              <w:rPr>
                <w:rFonts w:ascii="Times New Roman" w:hAnsi="Times New Roman" w:cs="Times New Roman"/>
                <w:sz w:val="24"/>
              </w:rPr>
              <w:t>（</w:t>
            </w:r>
            <w:r>
              <w:rPr>
                <w:rFonts w:ascii="Times New Roman" w:hAnsi="Times New Roman" w:cs="Times New Roman"/>
                <w:sz w:val="24"/>
              </w:rPr>
              <w:t>5U/µL</w:t>
            </w:r>
            <w:r>
              <w:rPr>
                <w:rFonts w:ascii="Times New Roman" w:hAnsi="Times New Roman" w:cs="Times New Roman"/>
                <w:sz w:val="24"/>
              </w:rPr>
              <w:t>）</w:t>
            </w:r>
          </w:p>
        </w:tc>
        <w:tc>
          <w:tcPr>
            <w:tcW w:w="94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100µL</w:t>
            </w:r>
          </w:p>
        </w:tc>
        <w:tc>
          <w:tcPr>
            <w:tcW w:w="1002"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200µL</w:t>
            </w:r>
          </w:p>
        </w:tc>
        <w:tc>
          <w:tcPr>
            <w:tcW w:w="988"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1mL</w:t>
            </w:r>
          </w:p>
        </w:tc>
      </w:tr>
      <w:tr w:rsidR="00F01313">
        <w:trPr>
          <w:trHeight w:val="283"/>
        </w:trPr>
        <w:tc>
          <w:tcPr>
            <w:tcW w:w="206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dNTP Mixture (</w:t>
            </w:r>
            <w:r>
              <w:rPr>
                <w:rFonts w:ascii="Times New Roman" w:hAnsi="Times New Roman" w:cs="Times New Roman" w:hint="eastAsia"/>
                <w:sz w:val="24"/>
              </w:rPr>
              <w:t>10</w:t>
            </w:r>
            <w:r>
              <w:rPr>
                <w:rFonts w:ascii="Times New Roman" w:hAnsi="Times New Roman" w:cs="Times New Roman"/>
                <w:sz w:val="24"/>
              </w:rPr>
              <w:t xml:space="preserve">mM </w:t>
            </w:r>
            <w:r>
              <w:rPr>
                <w:rFonts w:ascii="Times New Roman" w:hAnsi="Times New Roman" w:cs="Times New Roman"/>
                <w:sz w:val="24"/>
              </w:rPr>
              <w:t>each)</w:t>
            </w:r>
          </w:p>
        </w:tc>
        <w:tc>
          <w:tcPr>
            <w:tcW w:w="94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100µL</w:t>
            </w:r>
          </w:p>
        </w:tc>
        <w:tc>
          <w:tcPr>
            <w:tcW w:w="1002"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200µL</w:t>
            </w:r>
          </w:p>
        </w:tc>
        <w:tc>
          <w:tcPr>
            <w:tcW w:w="988"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1mL</w:t>
            </w:r>
          </w:p>
        </w:tc>
      </w:tr>
      <w:tr w:rsidR="00F01313">
        <w:trPr>
          <w:trHeight w:val="283"/>
        </w:trPr>
        <w:tc>
          <w:tcPr>
            <w:tcW w:w="206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10× PCR Buffer (Mg</w:t>
            </w:r>
            <w:r>
              <w:rPr>
                <w:rFonts w:ascii="Times New Roman" w:hAnsi="Times New Roman" w:cs="Times New Roman"/>
                <w:sz w:val="24"/>
                <w:vertAlign w:val="superscript"/>
              </w:rPr>
              <w:t>2+</w:t>
            </w:r>
            <w:r>
              <w:rPr>
                <w:rFonts w:ascii="Times New Roman" w:hAnsi="Times New Roman" w:cs="Times New Roman"/>
                <w:sz w:val="24"/>
              </w:rPr>
              <w:t xml:space="preserve"> plus)</w:t>
            </w:r>
          </w:p>
        </w:tc>
        <w:tc>
          <w:tcPr>
            <w:tcW w:w="944"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1mL</w:t>
            </w:r>
          </w:p>
        </w:tc>
        <w:tc>
          <w:tcPr>
            <w:tcW w:w="1002"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2× 1mL</w:t>
            </w:r>
          </w:p>
        </w:tc>
        <w:tc>
          <w:tcPr>
            <w:tcW w:w="988" w:type="pct"/>
            <w:tcBorders>
              <w:left w:val="nil"/>
              <w:right w:val="nil"/>
            </w:tcBorders>
            <w:vAlign w:val="center"/>
          </w:tcPr>
          <w:p w:rsidR="00F01313" w:rsidRDefault="0077771D">
            <w:pPr>
              <w:spacing w:line="480" w:lineRule="exact"/>
              <w:jc w:val="center"/>
              <w:rPr>
                <w:rFonts w:ascii="Times New Roman" w:hAnsi="Times New Roman" w:cs="Times New Roman"/>
                <w:sz w:val="24"/>
              </w:rPr>
            </w:pPr>
            <w:r>
              <w:rPr>
                <w:rFonts w:ascii="Times New Roman" w:hAnsi="Times New Roman" w:cs="Times New Roman"/>
                <w:sz w:val="24"/>
              </w:rPr>
              <w:t>10× 1mL</w:t>
            </w:r>
          </w:p>
        </w:tc>
      </w:tr>
    </w:tbl>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储存条件：</w:t>
      </w:r>
    </w:p>
    <w:p w:rsidR="00F01313" w:rsidRDefault="0077771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-20℃</w:t>
      </w:r>
      <w:r>
        <w:rPr>
          <w:rFonts w:ascii="Times New Roman" w:eastAsia="宋体" w:hAnsi="Times New Roman" w:cs="Times New Roman"/>
          <w:sz w:val="24"/>
        </w:rPr>
        <w:t>条件下保存，有效期至少</w:t>
      </w:r>
      <w:r>
        <w:rPr>
          <w:rFonts w:ascii="Times New Roman" w:eastAsia="宋体" w:hAnsi="Times New Roman" w:cs="Times New Roman"/>
          <w:sz w:val="24"/>
        </w:rPr>
        <w:t>12</w:t>
      </w:r>
      <w:r>
        <w:rPr>
          <w:rFonts w:ascii="Times New Roman" w:eastAsia="宋体" w:hAnsi="Times New Roman" w:cs="Times New Roman"/>
          <w:sz w:val="24"/>
        </w:rPr>
        <w:t>个月。</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活性定义：</w:t>
      </w:r>
    </w:p>
    <w:p w:rsidR="00F01313" w:rsidRDefault="0077771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用活性化的大马哈鱼精子</w:t>
      </w:r>
      <w:r>
        <w:rPr>
          <w:rFonts w:ascii="Times New Roman" w:eastAsia="宋体" w:hAnsi="Times New Roman" w:cs="Times New Roman"/>
          <w:sz w:val="24"/>
        </w:rPr>
        <w:t>DNA</w:t>
      </w:r>
      <w:r>
        <w:rPr>
          <w:rFonts w:ascii="Times New Roman" w:eastAsia="宋体" w:hAnsi="Times New Roman" w:cs="Times New Roman"/>
          <w:sz w:val="24"/>
        </w:rPr>
        <w:t>作为模板</w:t>
      </w:r>
      <w:r>
        <w:rPr>
          <w:rFonts w:ascii="Times New Roman" w:eastAsia="宋体" w:hAnsi="Times New Roman" w:cs="Times New Roman"/>
          <w:sz w:val="24"/>
        </w:rPr>
        <w:t>/</w:t>
      </w:r>
      <w:r>
        <w:rPr>
          <w:rFonts w:ascii="Times New Roman" w:eastAsia="宋体" w:hAnsi="Times New Roman" w:cs="Times New Roman"/>
          <w:sz w:val="24"/>
        </w:rPr>
        <w:t>引物，在</w:t>
      </w:r>
      <w:r>
        <w:rPr>
          <w:rFonts w:ascii="Times New Roman" w:eastAsia="宋体" w:hAnsi="Times New Roman" w:cs="Times New Roman"/>
          <w:sz w:val="24"/>
        </w:rPr>
        <w:t>74℃</w:t>
      </w:r>
      <w:r>
        <w:rPr>
          <w:rFonts w:ascii="Times New Roman" w:eastAsia="宋体" w:hAnsi="Times New Roman" w:cs="Times New Roman"/>
          <w:sz w:val="24"/>
        </w:rPr>
        <w:t>，</w:t>
      </w:r>
      <w:r>
        <w:rPr>
          <w:rFonts w:ascii="Times New Roman" w:eastAsia="宋体" w:hAnsi="Times New Roman" w:cs="Times New Roman"/>
          <w:sz w:val="24"/>
        </w:rPr>
        <w:t>30</w:t>
      </w:r>
      <w:r>
        <w:rPr>
          <w:rFonts w:ascii="Times New Roman" w:eastAsia="宋体" w:hAnsi="Times New Roman" w:cs="Times New Roman"/>
          <w:sz w:val="24"/>
        </w:rPr>
        <w:t>分钟内，摄入</w:t>
      </w:r>
      <w:r>
        <w:rPr>
          <w:rFonts w:ascii="Times New Roman" w:eastAsia="宋体" w:hAnsi="Times New Roman" w:cs="Times New Roman"/>
          <w:sz w:val="24"/>
        </w:rPr>
        <w:t>10nmol</w:t>
      </w:r>
      <w:r>
        <w:rPr>
          <w:rFonts w:ascii="Times New Roman" w:eastAsia="宋体" w:hAnsi="Times New Roman" w:cs="Times New Roman"/>
          <w:sz w:val="24"/>
        </w:rPr>
        <w:t>的全核苷酸为酸性不溶物的活性定义为</w:t>
      </w:r>
      <w:r>
        <w:rPr>
          <w:rFonts w:ascii="Times New Roman" w:eastAsia="宋体" w:hAnsi="Times New Roman" w:cs="Times New Roman"/>
          <w:sz w:val="24"/>
        </w:rPr>
        <w:t>1</w:t>
      </w:r>
      <w:r>
        <w:rPr>
          <w:rFonts w:ascii="Times New Roman" w:eastAsia="宋体" w:hAnsi="Times New Roman" w:cs="Times New Roman"/>
          <w:sz w:val="24"/>
        </w:rPr>
        <w:t>个活性单位（</w:t>
      </w:r>
      <w:r>
        <w:rPr>
          <w:rFonts w:ascii="Times New Roman" w:eastAsia="宋体" w:hAnsi="Times New Roman" w:cs="Times New Roman"/>
          <w:sz w:val="24"/>
        </w:rPr>
        <w:t>U</w:t>
      </w:r>
      <w:r>
        <w:rPr>
          <w:rFonts w:ascii="Times New Roman" w:eastAsia="宋体" w:hAnsi="Times New Roman" w:cs="Times New Roman"/>
          <w:sz w:val="24"/>
        </w:rPr>
        <w:t>）。</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F01313" w:rsidRDefault="0077771D">
      <w:pPr>
        <w:widowControl/>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产品用途：</w:t>
      </w:r>
    </w:p>
    <w:p w:rsidR="00F01313" w:rsidRDefault="0077771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Hot Start </w:t>
      </w:r>
      <w:r>
        <w:rPr>
          <w:rFonts w:ascii="Times New Roman" w:eastAsia="宋体" w:hAnsi="Times New Roman" w:cs="Times New Roman"/>
          <w:sz w:val="24"/>
        </w:rPr>
        <w:t>PCR</w:t>
      </w:r>
      <w:r>
        <w:rPr>
          <w:rFonts w:ascii="Times New Roman" w:eastAsia="宋体" w:hAnsi="Times New Roman" w:cs="Times New Roman" w:hint="eastAsia"/>
          <w:sz w:val="24"/>
        </w:rPr>
        <w:t>；</w:t>
      </w:r>
      <w:r>
        <w:rPr>
          <w:rFonts w:ascii="Times New Roman" w:eastAsia="宋体" w:hAnsi="Times New Roman" w:cs="Times New Roman"/>
          <w:sz w:val="24"/>
        </w:rPr>
        <w:t>DNA</w:t>
      </w:r>
      <w:r>
        <w:rPr>
          <w:rFonts w:ascii="Times New Roman" w:eastAsia="宋体" w:hAnsi="Times New Roman" w:cs="Times New Roman"/>
          <w:sz w:val="24"/>
        </w:rPr>
        <w:t>序列测定。</w:t>
      </w:r>
      <w:r>
        <w:rPr>
          <w:rFonts w:ascii="Times New Roman" w:eastAsia="宋体" w:hAnsi="Times New Roman" w:cs="Times New Roman"/>
          <w:sz w:val="24"/>
        </w:rPr>
        <w:t xml:space="preserve"> </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使用方法：</w:t>
      </w:r>
    </w:p>
    <w:p w:rsidR="00F01313" w:rsidRDefault="0077771D">
      <w:pPr>
        <w:widowControl/>
        <w:numPr>
          <w:ilvl w:val="0"/>
          <w:numId w:val="1"/>
        </w:numPr>
        <w:autoSpaceDE w:val="0"/>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将实验所需试剂室温</w:t>
      </w:r>
      <w:proofErr w:type="gramStart"/>
      <w:r>
        <w:rPr>
          <w:rFonts w:ascii="Times New Roman" w:eastAsia="宋体" w:hAnsi="Times New Roman" w:cs="Times New Roman"/>
          <w:color w:val="000000"/>
          <w:kern w:val="0"/>
          <w:sz w:val="24"/>
          <w:lang w:bidi="ar"/>
        </w:rPr>
        <w:t>平衡至</w:t>
      </w:r>
      <w:proofErr w:type="gramEnd"/>
      <w:r>
        <w:rPr>
          <w:rFonts w:ascii="Times New Roman" w:eastAsia="宋体" w:hAnsi="Times New Roman" w:cs="Times New Roman"/>
          <w:color w:val="000000"/>
          <w:kern w:val="0"/>
          <w:sz w:val="24"/>
          <w:lang w:bidi="ar"/>
        </w:rPr>
        <w:t>完全溶解，</w:t>
      </w:r>
      <w:r>
        <w:rPr>
          <w:rFonts w:ascii="Times New Roman" w:eastAsia="宋体" w:hAnsi="Times New Roman" w:cs="Times New Roman"/>
          <w:kern w:val="0"/>
          <w:sz w:val="24"/>
          <w:lang w:bidi="ar"/>
        </w:rPr>
        <w:t>充分温和混匀（请勿涡旋振荡），瞬时离心后使用，避免产生大量气泡，避免反复多次冻融，若经常</w:t>
      </w:r>
      <w:proofErr w:type="gramStart"/>
      <w:r>
        <w:rPr>
          <w:rFonts w:ascii="Times New Roman" w:eastAsia="宋体" w:hAnsi="Times New Roman" w:cs="Times New Roman"/>
          <w:kern w:val="0"/>
          <w:sz w:val="24"/>
          <w:lang w:bidi="ar"/>
        </w:rPr>
        <w:t>使用请</w:t>
      </w:r>
      <w:proofErr w:type="gramEnd"/>
      <w:r>
        <w:rPr>
          <w:rFonts w:ascii="Times New Roman" w:eastAsia="宋体" w:hAnsi="Times New Roman" w:cs="Times New Roman"/>
          <w:kern w:val="0"/>
          <w:sz w:val="24"/>
          <w:lang w:bidi="ar"/>
        </w:rPr>
        <w:t>保存在</w:t>
      </w:r>
      <w:r>
        <w:rPr>
          <w:rFonts w:ascii="Times New Roman" w:eastAsia="宋体" w:hAnsi="Times New Roman" w:cs="Times New Roman"/>
          <w:kern w:val="0"/>
          <w:sz w:val="24"/>
          <w:lang w:bidi="ar"/>
        </w:rPr>
        <w:t>4℃</w:t>
      </w:r>
      <w:r>
        <w:rPr>
          <w:rFonts w:ascii="Times New Roman" w:eastAsia="宋体" w:hAnsi="Times New Roman" w:cs="Times New Roman"/>
          <w:kern w:val="0"/>
          <w:sz w:val="24"/>
          <w:lang w:bidi="ar"/>
        </w:rPr>
        <w:t>。按下列</w:t>
      </w:r>
      <w:r>
        <w:rPr>
          <w:rFonts w:ascii="Times New Roman" w:eastAsia="宋体" w:hAnsi="Times New Roman" w:cs="Times New Roman" w:hint="eastAsia"/>
          <w:kern w:val="0"/>
          <w:sz w:val="24"/>
          <w:lang w:bidi="ar"/>
        </w:rPr>
        <w:t>组分配制</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反应液（反应液</w:t>
      </w:r>
      <w:proofErr w:type="gramStart"/>
      <w:r>
        <w:rPr>
          <w:rFonts w:ascii="Times New Roman" w:eastAsia="宋体" w:hAnsi="Times New Roman" w:cs="Times New Roman"/>
          <w:kern w:val="0"/>
          <w:sz w:val="24"/>
          <w:lang w:bidi="ar"/>
        </w:rPr>
        <w:t>配制请</w:t>
      </w:r>
      <w:proofErr w:type="gramEnd"/>
      <w:r>
        <w:rPr>
          <w:rFonts w:ascii="Times New Roman" w:eastAsia="宋体" w:hAnsi="Times New Roman" w:cs="Times New Roman"/>
          <w:kern w:val="0"/>
          <w:sz w:val="24"/>
          <w:lang w:bidi="ar"/>
        </w:rPr>
        <w:t>在冰盒上进行）：</w:t>
      </w:r>
    </w:p>
    <w:p w:rsidR="00F01313" w:rsidRDefault="0077771D">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lastRenderedPageBreak/>
        <w:t>推荐反应体系：</w:t>
      </w:r>
    </w:p>
    <w:tbl>
      <w:tblPr>
        <w:tblStyle w:val="a6"/>
        <w:tblW w:w="4999" w:type="pct"/>
        <w:tblBorders>
          <w:left w:val="none" w:sz="0" w:space="0" w:color="auto"/>
          <w:right w:val="none" w:sz="0" w:space="0" w:color="auto"/>
          <w:insideV w:val="none" w:sz="0" w:space="0" w:color="auto"/>
        </w:tblBorders>
        <w:tblLook w:val="04A0" w:firstRow="1" w:lastRow="0" w:firstColumn="1" w:lastColumn="0" w:noHBand="0" w:noVBand="1"/>
      </w:tblPr>
      <w:tblGrid>
        <w:gridCol w:w="4280"/>
        <w:gridCol w:w="2840"/>
        <w:gridCol w:w="2840"/>
      </w:tblGrid>
      <w:tr w:rsidR="00F01313">
        <w:trPr>
          <w:trHeight w:val="170"/>
        </w:trPr>
        <w:tc>
          <w:tcPr>
            <w:tcW w:w="2148" w:type="pct"/>
            <w:tcBorders>
              <w:tl2br w:val="nil"/>
              <w:tr2bl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试剂</w:t>
            </w:r>
          </w:p>
        </w:tc>
        <w:tc>
          <w:tcPr>
            <w:tcW w:w="1425" w:type="pct"/>
            <w:tcBorders>
              <w:tl2br w:val="nil"/>
              <w:tr2bl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25</w:t>
            </w:r>
            <w:r>
              <w:rPr>
                <w:rFonts w:ascii="Times New Roman" w:eastAsia="宋体" w:hAnsi="Times New Roman" w:cs="Times New Roman"/>
                <w:sz w:val="24"/>
              </w:rPr>
              <w:t>µL</w:t>
            </w:r>
            <w:r>
              <w:rPr>
                <w:rFonts w:ascii="Times New Roman" w:eastAsia="宋体" w:hAnsi="Times New Roman" w:cs="Times New Roman"/>
                <w:sz w:val="24"/>
              </w:rPr>
              <w:t>体系用量</w:t>
            </w:r>
          </w:p>
        </w:tc>
        <w:tc>
          <w:tcPr>
            <w:tcW w:w="1425" w:type="pct"/>
            <w:tcBorders>
              <w:tl2br w:val="nil"/>
              <w:tr2bl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F01313">
        <w:trPr>
          <w:trHeight w:val="170"/>
        </w:trPr>
        <w:tc>
          <w:tcPr>
            <w:tcW w:w="2148" w:type="pct"/>
            <w:tcBorders>
              <w:bottom w:val="nil"/>
            </w:tcBorders>
            <w:vAlign w:val="center"/>
          </w:tcPr>
          <w:p w:rsidR="00F01313" w:rsidRDefault="0077771D">
            <w:pPr>
              <w:spacing w:line="360" w:lineRule="auto"/>
              <w:jc w:val="center"/>
              <w:rPr>
                <w:rFonts w:ascii="Times New Roman" w:eastAsia="宋体" w:hAnsi="Times New Roman" w:cs="Times New Roman"/>
                <w:sz w:val="24"/>
              </w:rPr>
            </w:pPr>
            <w:proofErr w:type="spellStart"/>
            <w:r>
              <w:rPr>
                <w:rFonts w:ascii="Times New Roman" w:eastAsia="宋体" w:hAnsi="Times New Roman" w:cs="Times New Roman"/>
                <w:sz w:val="24"/>
              </w:rPr>
              <w:t>Taq</w:t>
            </w:r>
            <w:proofErr w:type="spellEnd"/>
            <w:r>
              <w:rPr>
                <w:rFonts w:ascii="Times New Roman" w:eastAsia="宋体" w:hAnsi="Times New Roman" w:cs="Times New Roman"/>
                <w:sz w:val="24"/>
              </w:rPr>
              <w:t xml:space="preserve"> Hot-Start DNA Polymerase</w:t>
            </w:r>
          </w:p>
        </w:tc>
        <w:tc>
          <w:tcPr>
            <w:tcW w:w="1425" w:type="pct"/>
            <w:tcBorders>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0.5</w:t>
            </w:r>
            <w:r>
              <w:rPr>
                <w:rFonts w:ascii="Times New Roman" w:eastAsia="宋体" w:hAnsi="Times New Roman" w:cs="Times New Roman"/>
                <w:sz w:val="24"/>
              </w:rPr>
              <w:t>µL</w:t>
            </w:r>
          </w:p>
        </w:tc>
        <w:tc>
          <w:tcPr>
            <w:tcW w:w="1425" w:type="pct"/>
            <w:tcBorders>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w:t>
            </w:r>
            <w:r>
              <w:rPr>
                <w:rFonts w:ascii="Times New Roman" w:eastAsia="宋体" w:hAnsi="Times New Roman" w:cs="Times New Roman" w:hint="eastAsia"/>
                <w:sz w:val="24"/>
              </w:rPr>
              <w:t>1</w:t>
            </w:r>
            <w:r>
              <w:rPr>
                <w:rFonts w:ascii="Times New Roman" w:eastAsia="宋体" w:hAnsi="Times New Roman" w:cs="Times New Roman"/>
                <w:sz w:val="24"/>
              </w:rPr>
              <w:t>U</w:t>
            </w:r>
          </w:p>
        </w:tc>
      </w:tr>
      <w:tr w:rsidR="00F01313">
        <w:trPr>
          <w:trHeight w:val="170"/>
        </w:trPr>
        <w:tc>
          <w:tcPr>
            <w:tcW w:w="2148"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sz w:val="24"/>
              </w:rPr>
              <w:t xml:space="preserve"> PCR Buffer (Mg</w:t>
            </w:r>
            <w:r>
              <w:rPr>
                <w:rFonts w:ascii="Times New Roman" w:eastAsia="宋体" w:hAnsi="Times New Roman" w:cs="Times New Roman"/>
                <w:sz w:val="24"/>
                <w:vertAlign w:val="superscript"/>
              </w:rPr>
              <w:t>2+</w:t>
            </w:r>
            <w:r>
              <w:rPr>
                <w:rFonts w:ascii="Times New Roman" w:eastAsia="宋体" w:hAnsi="Times New Roman" w:cs="Times New Roman"/>
                <w:sz w:val="24"/>
              </w:rPr>
              <w:t xml:space="preserve"> plus)</w:t>
            </w:r>
          </w:p>
        </w:tc>
        <w:tc>
          <w:tcPr>
            <w:tcW w:w="1425"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hint="eastAsia"/>
                <w:sz w:val="24"/>
              </w:rPr>
              <w:t>2.5</w:t>
            </w:r>
            <w:r>
              <w:rPr>
                <w:rFonts w:ascii="Times New Roman" w:eastAsia="宋体" w:hAnsi="Times New Roman" w:cs="Times New Roman"/>
                <w:sz w:val="24"/>
              </w:rPr>
              <w:t>µL</w:t>
            </w:r>
          </w:p>
        </w:tc>
        <w:tc>
          <w:tcPr>
            <w:tcW w:w="1425"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w:t>
            </w:r>
          </w:p>
        </w:tc>
      </w:tr>
      <w:tr w:rsidR="00F01313">
        <w:trPr>
          <w:trHeight w:val="170"/>
        </w:trPr>
        <w:tc>
          <w:tcPr>
            <w:tcW w:w="2148"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dNTP Mixture (</w:t>
            </w:r>
            <w:r>
              <w:rPr>
                <w:rFonts w:ascii="Times New Roman" w:eastAsia="宋体" w:hAnsi="Times New Roman" w:cs="Times New Roman" w:hint="eastAsia"/>
                <w:sz w:val="24"/>
              </w:rPr>
              <w:t>10</w:t>
            </w:r>
            <w:r>
              <w:rPr>
                <w:rFonts w:ascii="Times New Roman" w:eastAsia="宋体" w:hAnsi="Times New Roman" w:cs="Times New Roman"/>
                <w:sz w:val="24"/>
              </w:rPr>
              <w:t>mM</w:t>
            </w:r>
            <w:r>
              <w:rPr>
                <w:rFonts w:ascii="Times New Roman" w:eastAsia="宋体" w:hAnsi="Times New Roman" w:cs="Times New Roman"/>
                <w:sz w:val="24"/>
              </w:rPr>
              <w:t xml:space="preserve"> </w:t>
            </w:r>
            <w:r>
              <w:rPr>
                <w:rFonts w:ascii="Times New Roman" w:eastAsia="宋体" w:hAnsi="Times New Roman" w:cs="Times New Roman"/>
                <w:sz w:val="24"/>
              </w:rPr>
              <w:t>each</w:t>
            </w:r>
            <w:r>
              <w:rPr>
                <w:rFonts w:ascii="Times New Roman" w:eastAsia="宋体" w:hAnsi="Times New Roman" w:cs="Times New Roman"/>
                <w:sz w:val="24"/>
              </w:rPr>
              <w:t>)</w:t>
            </w:r>
          </w:p>
        </w:tc>
        <w:tc>
          <w:tcPr>
            <w:tcW w:w="1425"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1µL</w:t>
            </w:r>
          </w:p>
        </w:tc>
        <w:tc>
          <w:tcPr>
            <w:tcW w:w="1425"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w:t>
            </w:r>
            <w:r>
              <w:rPr>
                <w:rFonts w:ascii="Times New Roman" w:eastAsia="宋体" w:hAnsi="Times New Roman" w:cs="Times New Roman" w:hint="eastAsia"/>
                <w:sz w:val="24"/>
              </w:rPr>
              <w:t>2</w:t>
            </w:r>
            <w:r>
              <w:rPr>
                <w:rFonts w:ascii="Times New Roman" w:eastAsia="宋体" w:hAnsi="Times New Roman" w:cs="Times New Roman"/>
                <w:sz w:val="24"/>
              </w:rPr>
              <w:t>mM</w:t>
            </w:r>
            <w:r>
              <w:rPr>
                <w:rFonts w:ascii="Times New Roman" w:eastAsia="宋体" w:hAnsi="Times New Roman" w:cs="Times New Roman"/>
                <w:sz w:val="24"/>
              </w:rPr>
              <w:t xml:space="preserve"> </w:t>
            </w:r>
            <w:r>
              <w:rPr>
                <w:rFonts w:ascii="Times New Roman" w:eastAsia="宋体" w:hAnsi="Times New Roman" w:cs="Times New Roman"/>
                <w:sz w:val="24"/>
              </w:rPr>
              <w:t>each</w:t>
            </w:r>
          </w:p>
        </w:tc>
      </w:tr>
      <w:tr w:rsidR="00F01313">
        <w:trPr>
          <w:trHeight w:val="170"/>
        </w:trPr>
        <w:tc>
          <w:tcPr>
            <w:tcW w:w="2148"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 (10µM)</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F01313">
        <w:trPr>
          <w:trHeight w:val="170"/>
        </w:trPr>
        <w:tc>
          <w:tcPr>
            <w:tcW w:w="2148"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II (10µM)</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F01313">
        <w:trPr>
          <w:trHeight w:val="170"/>
        </w:trPr>
        <w:tc>
          <w:tcPr>
            <w:tcW w:w="2148" w:type="pct"/>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Template DNA</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1-5μL</w:t>
            </w:r>
          </w:p>
        </w:tc>
        <w:tc>
          <w:tcPr>
            <w:tcW w:w="2840" w:type="dxa"/>
            <w:tcBorders>
              <w:top w:val="nil"/>
              <w:bottom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F01313">
        <w:trPr>
          <w:trHeight w:val="170"/>
        </w:trPr>
        <w:tc>
          <w:tcPr>
            <w:tcW w:w="2148" w:type="pct"/>
            <w:tcBorders>
              <w:top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425" w:type="pct"/>
            <w:tcBorders>
              <w:top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sz w:val="24"/>
              </w:rPr>
              <w:t xml:space="preserve">To </w:t>
            </w:r>
            <w:r>
              <w:rPr>
                <w:rFonts w:ascii="Times New Roman" w:eastAsia="宋体" w:hAnsi="Times New Roman" w:cs="Times New Roman" w:hint="eastAsia"/>
                <w:sz w:val="24"/>
              </w:rPr>
              <w:t>25</w:t>
            </w:r>
            <w:r>
              <w:rPr>
                <w:rFonts w:ascii="Times New Roman" w:eastAsia="宋体" w:hAnsi="Times New Roman" w:cs="Times New Roman"/>
                <w:sz w:val="24"/>
              </w:rPr>
              <w:t>µL</w:t>
            </w:r>
          </w:p>
        </w:tc>
        <w:tc>
          <w:tcPr>
            <w:tcW w:w="1425" w:type="pct"/>
            <w:tcBorders>
              <w:top w:val="nil"/>
            </w:tcBorders>
            <w:vAlign w:val="center"/>
          </w:tcPr>
          <w:p w:rsidR="00F01313" w:rsidRDefault="0077771D">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F01313" w:rsidRDefault="0077771D">
      <w:pPr>
        <w:spacing w:line="440" w:lineRule="exact"/>
        <w:jc w:val="left"/>
        <w:rPr>
          <w:rFonts w:ascii="Times New Roman" w:hAnsi="Times New Roman" w:cs="Times New Roman"/>
          <w:spacing w:val="-2"/>
          <w:szCs w:val="21"/>
        </w:rPr>
      </w:pPr>
      <w:r>
        <w:rPr>
          <w:rFonts w:ascii="Times New Roman" w:hAnsi="Times New Roman" w:cs="Times New Roman"/>
          <w:spacing w:val="-2"/>
          <w:szCs w:val="21"/>
        </w:rPr>
        <w:t>注：反应体系中各组分用量可根据实际需求进行调整。</w:t>
      </w:r>
    </w:p>
    <w:p w:rsidR="00F01313" w:rsidRDefault="0077771D">
      <w:pPr>
        <w:widowControl/>
        <w:numPr>
          <w:ilvl w:val="0"/>
          <w:numId w:val="1"/>
        </w:numPr>
        <w:autoSpaceDE w:val="0"/>
        <w:spacing w:line="46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通常情况下，可以采用两步法进行反应；如果两步法扩增不理想，可以采用三步法设置</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反应程序。</w:t>
      </w:r>
    </w:p>
    <w:tbl>
      <w:tblPr>
        <w:tblStyle w:val="a6"/>
        <w:tblW w:w="0" w:type="auto"/>
        <w:tblLook w:val="04A0" w:firstRow="1" w:lastRow="0" w:firstColumn="1" w:lastColumn="0" w:noHBand="0" w:noVBand="1"/>
      </w:tblPr>
      <w:tblGrid>
        <w:gridCol w:w="2489"/>
        <w:gridCol w:w="2933"/>
        <w:gridCol w:w="2934"/>
        <w:gridCol w:w="1603"/>
      </w:tblGrid>
      <w:tr w:rsidR="00F01313">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方法</w:t>
            </w:r>
            <w:r>
              <w:rPr>
                <w:rFonts w:ascii="Times New Roman" w:hAnsi="Times New Roman" w:cs="Times New Roman"/>
                <w:bCs/>
                <w:sz w:val="24"/>
              </w:rPr>
              <w:t>/</w:t>
            </w:r>
            <w:r>
              <w:rPr>
                <w:rFonts w:ascii="Times New Roman" w:hAnsi="Times New Roman" w:cs="Times New Roman"/>
                <w:bCs/>
                <w:sz w:val="24"/>
              </w:rPr>
              <w:t>步骤</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两步法</w:t>
            </w:r>
            <w:r>
              <w:rPr>
                <w:rFonts w:ascii="Times New Roman" w:hAnsi="Times New Roman" w:cs="Times New Roman"/>
                <w:bCs/>
                <w:sz w:val="24"/>
              </w:rPr>
              <w:t>real-time PCR</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三步法</w:t>
            </w:r>
            <w:r>
              <w:rPr>
                <w:rFonts w:ascii="Times New Roman" w:hAnsi="Times New Roman" w:cs="Times New Roman"/>
                <w:bCs/>
                <w:sz w:val="24"/>
              </w:rPr>
              <w:t>real-time PCR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循环数</w:t>
            </w:r>
          </w:p>
        </w:tc>
      </w:tr>
      <w:tr w:rsidR="00F01313">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（预变性）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1</w:t>
            </w:r>
          </w:p>
        </w:tc>
      </w:tr>
      <w:tr w:rsidR="00F01313">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35-45Cycles</w:t>
            </w:r>
          </w:p>
        </w:tc>
      </w:tr>
      <w:tr w:rsidR="00F01313">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55℃-65℃</w:t>
            </w:r>
            <w:r>
              <w:rPr>
                <w:rFonts w:ascii="Times New Roman" w:hAnsi="Times New Roman" w:cs="Times New Roman"/>
                <w:bCs/>
                <w:sz w:val="24"/>
              </w:rPr>
              <w:t>（退火）</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F01313" w:rsidRDefault="00F01313">
            <w:pPr>
              <w:widowControl/>
              <w:spacing w:line="400" w:lineRule="exact"/>
              <w:jc w:val="center"/>
              <w:rPr>
                <w:rFonts w:ascii="Times New Roman" w:hAnsi="Times New Roman" w:cs="Times New Roman"/>
                <w:bCs/>
                <w:sz w:val="24"/>
              </w:rPr>
            </w:pPr>
          </w:p>
        </w:tc>
      </w:tr>
      <w:tr w:rsidR="00F01313">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72℃</w:t>
            </w:r>
            <w:r>
              <w:rPr>
                <w:rFonts w:ascii="Times New Roman" w:hAnsi="Times New Roman" w:cs="Times New Roman"/>
                <w:bCs/>
                <w:sz w:val="24"/>
              </w:rPr>
              <w:t>（延伸）</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F01313" w:rsidRDefault="0077771D">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F01313" w:rsidRDefault="00F01313">
            <w:pPr>
              <w:widowControl/>
              <w:spacing w:line="400" w:lineRule="exact"/>
              <w:jc w:val="center"/>
              <w:rPr>
                <w:rFonts w:ascii="Times New Roman" w:hAnsi="Times New Roman" w:cs="Times New Roman"/>
                <w:bCs/>
                <w:sz w:val="24"/>
              </w:rPr>
            </w:pPr>
          </w:p>
        </w:tc>
      </w:tr>
    </w:tbl>
    <w:p w:rsidR="00F01313" w:rsidRDefault="0077771D">
      <w:pPr>
        <w:widowControl/>
        <w:autoSpaceDE w:val="0"/>
        <w:spacing w:line="400" w:lineRule="exact"/>
        <w:jc w:val="left"/>
        <w:rPr>
          <w:rFonts w:ascii="Times New Roman" w:eastAsia="宋体" w:hAnsi="Times New Roman" w:cs="Times New Roman"/>
          <w:kern w:val="0"/>
          <w:sz w:val="24"/>
          <w:lang w:bidi="ar"/>
        </w:rPr>
      </w:pPr>
      <w:r>
        <w:rPr>
          <w:rFonts w:ascii="Times New Roman" w:hAnsi="Times New Roman" w:cs="Times New Roman"/>
          <w:spacing w:val="-2"/>
          <w:szCs w:val="21"/>
        </w:rPr>
        <w:t>注：反应条件可以根据实际需求进行适当调整和优化。</w:t>
      </w:r>
    </w:p>
    <w:p w:rsidR="00F01313" w:rsidRDefault="0077771D">
      <w:pPr>
        <w:widowControl/>
        <w:numPr>
          <w:ilvl w:val="0"/>
          <w:numId w:val="1"/>
        </w:numPr>
        <w:autoSpaceDE w:val="0"/>
        <w:spacing w:line="46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反应结束后，对实验结果进行分析。详细分析方法参见</w:t>
      </w:r>
      <w:r>
        <w:rPr>
          <w:rFonts w:ascii="Times New Roman" w:eastAsia="宋体" w:hAnsi="Times New Roman" w:cs="Times New Roman"/>
          <w:kern w:val="0"/>
          <w:sz w:val="24"/>
          <w:lang w:bidi="ar"/>
        </w:rPr>
        <w:t xml:space="preserve">PCR </w:t>
      </w:r>
      <w:r>
        <w:rPr>
          <w:rFonts w:ascii="Times New Roman" w:eastAsia="宋体" w:hAnsi="Times New Roman" w:cs="Times New Roman"/>
          <w:kern w:val="0"/>
          <w:sz w:val="24"/>
          <w:lang w:bidi="ar"/>
        </w:rPr>
        <w:t>扩增</w:t>
      </w:r>
      <w:proofErr w:type="gramStart"/>
      <w:r>
        <w:rPr>
          <w:rFonts w:ascii="Times New Roman" w:eastAsia="宋体" w:hAnsi="Times New Roman" w:cs="Times New Roman"/>
          <w:kern w:val="0"/>
          <w:sz w:val="24"/>
          <w:lang w:bidi="ar"/>
        </w:rPr>
        <w:t>仪操作</w:t>
      </w:r>
      <w:proofErr w:type="gramEnd"/>
      <w:r>
        <w:rPr>
          <w:rFonts w:ascii="Times New Roman" w:eastAsia="宋体" w:hAnsi="Times New Roman" w:cs="Times New Roman"/>
          <w:kern w:val="0"/>
          <w:sz w:val="24"/>
          <w:lang w:bidi="ar"/>
        </w:rPr>
        <w:t>手册。</w:t>
      </w:r>
      <w:r>
        <w:rPr>
          <w:rFonts w:ascii="Times New Roman" w:eastAsia="宋体" w:hAnsi="Times New Roman" w:cs="Times New Roman"/>
          <w:kern w:val="0"/>
          <w:sz w:val="24"/>
          <w:lang w:bidi="ar"/>
        </w:rPr>
        <w:t xml:space="preserve"> </w:t>
      </w:r>
    </w:p>
    <w:p w:rsidR="00F01313" w:rsidRDefault="0077771D">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注意事项：</w:t>
      </w:r>
    </w:p>
    <w:p w:rsidR="00F01313" w:rsidRDefault="0077771D">
      <w:pPr>
        <w:numPr>
          <w:ilvl w:val="0"/>
          <w:numId w:val="2"/>
        </w:num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kern w:val="0"/>
          <w:sz w:val="24"/>
          <w:lang w:bidi="ar"/>
        </w:rPr>
        <w:t>请根据引物选择合适的退火（延伸）温度。通常引物的</w:t>
      </w:r>
      <w:r>
        <w:rPr>
          <w:rFonts w:ascii="Times New Roman" w:eastAsia="宋体" w:hAnsi="Times New Roman" w:cs="Times New Roman"/>
          <w:kern w:val="0"/>
          <w:sz w:val="24"/>
          <w:lang w:bidi="ar"/>
        </w:rPr>
        <w:t>Tm</w:t>
      </w:r>
      <w:proofErr w:type="gramStart"/>
      <w:r>
        <w:rPr>
          <w:rFonts w:ascii="Times New Roman" w:eastAsia="宋体" w:hAnsi="Times New Roman" w:cs="Times New Roman"/>
          <w:kern w:val="0"/>
          <w:sz w:val="24"/>
          <w:lang w:bidi="ar"/>
        </w:rPr>
        <w:t>值设计</w:t>
      </w:r>
      <w:proofErr w:type="gramEnd"/>
      <w:r>
        <w:rPr>
          <w:rFonts w:ascii="Times New Roman" w:eastAsia="宋体" w:hAnsi="Times New Roman" w:cs="Times New Roman"/>
          <w:kern w:val="0"/>
          <w:sz w:val="24"/>
          <w:lang w:bidi="ar"/>
        </w:rPr>
        <w:t>在</w:t>
      </w:r>
      <w:r>
        <w:rPr>
          <w:rFonts w:ascii="Times New Roman" w:eastAsia="宋体" w:hAnsi="Times New Roman" w:cs="Times New Roman"/>
          <w:kern w:val="0"/>
          <w:sz w:val="24"/>
          <w:lang w:bidi="ar"/>
        </w:rPr>
        <w:t>60℃</w:t>
      </w:r>
      <w:r>
        <w:rPr>
          <w:rFonts w:ascii="Times New Roman" w:eastAsia="宋体" w:hAnsi="Times New Roman" w:cs="Times New Roman"/>
          <w:kern w:val="0"/>
          <w:sz w:val="24"/>
          <w:lang w:bidi="ar"/>
        </w:rPr>
        <w:t>左右。对于退火温度较低的引物或超过</w:t>
      </w:r>
      <w:r>
        <w:rPr>
          <w:rFonts w:ascii="Times New Roman" w:eastAsia="宋体" w:hAnsi="Times New Roman" w:cs="Times New Roman"/>
          <w:kern w:val="0"/>
          <w:sz w:val="24"/>
          <w:lang w:bidi="ar"/>
        </w:rPr>
        <w:t>200bp</w:t>
      </w:r>
      <w:r>
        <w:rPr>
          <w:rFonts w:ascii="Times New Roman" w:eastAsia="宋体" w:hAnsi="Times New Roman" w:cs="Times New Roman"/>
          <w:kern w:val="0"/>
          <w:sz w:val="24"/>
          <w:lang w:bidi="ar"/>
        </w:rPr>
        <w:t>的长片段扩增，建议采用三步法。</w:t>
      </w:r>
      <w:r>
        <w:rPr>
          <w:rFonts w:ascii="Times New Roman" w:eastAsia="宋体" w:hAnsi="Times New Roman" w:cs="Times New Roman"/>
          <w:sz w:val="24"/>
        </w:rPr>
        <w:t>延伸时间可根据</w:t>
      </w:r>
      <w:r>
        <w:rPr>
          <w:rFonts w:ascii="Times New Roman" w:eastAsia="宋体" w:hAnsi="Times New Roman" w:cs="Times New Roman"/>
          <w:sz w:val="24"/>
        </w:rPr>
        <w:t>PCR</w:t>
      </w:r>
      <w:r>
        <w:rPr>
          <w:rFonts w:ascii="Times New Roman" w:eastAsia="宋体" w:hAnsi="Times New Roman" w:cs="Times New Roman"/>
          <w:sz w:val="24"/>
        </w:rPr>
        <w:t>产物的长度、</w:t>
      </w:r>
      <w:r>
        <w:rPr>
          <w:rFonts w:ascii="Times New Roman" w:eastAsia="宋体" w:hAnsi="Times New Roman" w:cs="Times New Roman"/>
          <w:sz w:val="24"/>
        </w:rPr>
        <w:t>GC</w:t>
      </w:r>
      <w:r>
        <w:rPr>
          <w:rFonts w:ascii="Times New Roman" w:eastAsia="宋体" w:hAnsi="Times New Roman" w:cs="Times New Roman"/>
          <w:sz w:val="24"/>
        </w:rPr>
        <w:t>含量等实际情况进行调整，每</w:t>
      </w:r>
      <w:r>
        <w:rPr>
          <w:rFonts w:ascii="Times New Roman" w:eastAsia="宋体" w:hAnsi="Times New Roman" w:cs="Times New Roman"/>
          <w:sz w:val="24"/>
        </w:rPr>
        <w:t>kb</w:t>
      </w:r>
      <w:r>
        <w:rPr>
          <w:rFonts w:ascii="Times New Roman" w:eastAsia="宋体" w:hAnsi="Times New Roman" w:cs="Times New Roman"/>
          <w:sz w:val="24"/>
        </w:rPr>
        <w:t>产物的延伸时间与模板复杂程度密切相关，简单模板为</w:t>
      </w:r>
      <w:r>
        <w:rPr>
          <w:rFonts w:ascii="Times New Roman" w:eastAsia="宋体" w:hAnsi="Times New Roman" w:cs="Times New Roman"/>
          <w:sz w:val="24"/>
        </w:rPr>
        <w:t>20s</w:t>
      </w:r>
      <w:r>
        <w:rPr>
          <w:rFonts w:ascii="Times New Roman" w:eastAsia="宋体" w:hAnsi="Times New Roman" w:cs="Times New Roman"/>
          <w:sz w:val="24"/>
        </w:rPr>
        <w:t>，一般模板为</w:t>
      </w:r>
      <w:r>
        <w:rPr>
          <w:rFonts w:ascii="Times New Roman" w:eastAsia="宋体" w:hAnsi="Times New Roman" w:cs="Times New Roman"/>
          <w:sz w:val="24"/>
        </w:rPr>
        <w:t>30s</w:t>
      </w:r>
      <w:r>
        <w:rPr>
          <w:rFonts w:ascii="Times New Roman" w:eastAsia="宋体" w:hAnsi="Times New Roman" w:cs="Times New Roman"/>
          <w:sz w:val="24"/>
        </w:rPr>
        <w:t>，复杂模板为</w:t>
      </w:r>
      <w:r>
        <w:rPr>
          <w:rFonts w:ascii="Times New Roman" w:eastAsia="宋体" w:hAnsi="Times New Roman" w:cs="Times New Roman"/>
          <w:sz w:val="24"/>
        </w:rPr>
        <w:t>1min</w:t>
      </w:r>
      <w:r>
        <w:rPr>
          <w:rFonts w:ascii="Times New Roman" w:eastAsia="宋体" w:hAnsi="Times New Roman" w:cs="Times New Roman"/>
          <w:sz w:val="24"/>
        </w:rPr>
        <w:t>。</w:t>
      </w:r>
    </w:p>
    <w:p w:rsidR="00F01313" w:rsidRDefault="0077771D">
      <w:pPr>
        <w:numPr>
          <w:ilvl w:val="0"/>
          <w:numId w:val="2"/>
        </w:num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PCR</w:t>
      </w:r>
      <w:r>
        <w:rPr>
          <w:rFonts w:ascii="Times New Roman" w:eastAsia="宋体" w:hAnsi="Times New Roman" w:cs="Times New Roman"/>
          <w:sz w:val="24"/>
        </w:rPr>
        <w:t>反应的设置需根据模板、引物、</w:t>
      </w:r>
      <w:r>
        <w:rPr>
          <w:rFonts w:ascii="Times New Roman" w:eastAsia="宋体" w:hAnsi="Times New Roman" w:cs="Times New Roman"/>
          <w:sz w:val="24"/>
        </w:rPr>
        <w:t>PCR</w:t>
      </w:r>
      <w:r>
        <w:rPr>
          <w:rFonts w:ascii="Times New Roman" w:eastAsia="宋体" w:hAnsi="Times New Roman" w:cs="Times New Roman"/>
          <w:sz w:val="24"/>
        </w:rPr>
        <w:t>产物的长度和</w:t>
      </w:r>
      <w:r>
        <w:rPr>
          <w:rFonts w:ascii="Times New Roman" w:eastAsia="宋体" w:hAnsi="Times New Roman" w:cs="Times New Roman"/>
          <w:sz w:val="24"/>
        </w:rPr>
        <w:t>GC</w:t>
      </w:r>
      <w:r>
        <w:rPr>
          <w:rFonts w:ascii="Times New Roman" w:eastAsia="宋体" w:hAnsi="Times New Roman" w:cs="Times New Roman"/>
          <w:sz w:val="24"/>
        </w:rPr>
        <w:t>含量等条件的不同设定不同的</w:t>
      </w:r>
      <w:r>
        <w:rPr>
          <w:rFonts w:ascii="Times New Roman" w:eastAsia="宋体" w:hAnsi="Times New Roman" w:cs="Times New Roman"/>
          <w:sz w:val="24"/>
        </w:rPr>
        <w:t>PCR</w:t>
      </w:r>
      <w:r>
        <w:rPr>
          <w:rFonts w:ascii="Times New Roman" w:eastAsia="宋体" w:hAnsi="Times New Roman" w:cs="Times New Roman"/>
          <w:sz w:val="24"/>
        </w:rPr>
        <w:t>反应条件，通常使用的引物终浓度可在</w:t>
      </w:r>
      <w:r>
        <w:rPr>
          <w:rFonts w:ascii="Times New Roman" w:eastAsia="宋体" w:hAnsi="Times New Roman" w:cs="Times New Roman"/>
          <w:sz w:val="24"/>
        </w:rPr>
        <w:t>0.</w:t>
      </w:r>
      <w:r>
        <w:rPr>
          <w:rFonts w:ascii="Times New Roman" w:eastAsia="宋体" w:hAnsi="Times New Roman" w:cs="Times New Roman" w:hint="eastAsia"/>
          <w:sz w:val="24"/>
        </w:rPr>
        <w:t>2</w:t>
      </w:r>
      <w:r>
        <w:rPr>
          <w:rFonts w:ascii="Times New Roman" w:eastAsia="宋体" w:hAnsi="Times New Roman" w:cs="Times New Roman"/>
          <w:sz w:val="24"/>
        </w:rPr>
        <w:t>-1.0μM</w:t>
      </w:r>
      <w:r>
        <w:rPr>
          <w:rFonts w:ascii="Times New Roman" w:eastAsia="宋体" w:hAnsi="Times New Roman" w:cs="Times New Roman"/>
          <w:sz w:val="24"/>
        </w:rPr>
        <w:t>范围内调整，</w:t>
      </w:r>
      <w:r>
        <w:rPr>
          <w:rFonts w:ascii="Times New Roman" w:eastAsia="宋体" w:hAnsi="Times New Roman" w:cs="Times New Roman"/>
          <w:sz w:val="24"/>
        </w:rPr>
        <w:t>DNA</w:t>
      </w:r>
      <w:r>
        <w:rPr>
          <w:rFonts w:ascii="Times New Roman" w:eastAsia="宋体" w:hAnsi="Times New Roman" w:cs="Times New Roman"/>
          <w:sz w:val="24"/>
        </w:rPr>
        <w:t>模板可根据浓度进行调整，模板复杂或</w:t>
      </w:r>
      <w:r>
        <w:rPr>
          <w:rFonts w:ascii="Times New Roman" w:eastAsia="宋体" w:hAnsi="Times New Roman" w:cs="Times New Roman"/>
          <w:sz w:val="24"/>
        </w:rPr>
        <w:t>GC</w:t>
      </w:r>
      <w:r>
        <w:rPr>
          <w:rFonts w:ascii="Times New Roman" w:eastAsia="宋体" w:hAnsi="Times New Roman" w:cs="Times New Roman"/>
          <w:sz w:val="24"/>
        </w:rPr>
        <w:t>含量建议延长预</w:t>
      </w:r>
      <w:r>
        <w:rPr>
          <w:rFonts w:ascii="Times New Roman" w:eastAsia="宋体" w:hAnsi="Times New Roman" w:cs="Times New Roman"/>
          <w:sz w:val="24"/>
        </w:rPr>
        <w:t>变性</w:t>
      </w:r>
      <w:r>
        <w:rPr>
          <w:rFonts w:ascii="Times New Roman" w:eastAsia="宋体" w:hAnsi="Times New Roman" w:cs="Times New Roman"/>
          <w:sz w:val="24"/>
        </w:rPr>
        <w:t>/</w:t>
      </w:r>
      <w:r>
        <w:rPr>
          <w:rFonts w:ascii="Times New Roman" w:eastAsia="宋体" w:hAnsi="Times New Roman" w:cs="Times New Roman"/>
          <w:sz w:val="24"/>
        </w:rPr>
        <w:t>变性或延伸时间，提高变性</w:t>
      </w:r>
      <w:r>
        <w:rPr>
          <w:rFonts w:ascii="Times New Roman" w:eastAsia="宋体" w:hAnsi="Times New Roman" w:cs="Times New Roman"/>
          <w:sz w:val="24"/>
        </w:rPr>
        <w:t>/</w:t>
      </w:r>
      <w:r>
        <w:rPr>
          <w:rFonts w:ascii="Times New Roman" w:eastAsia="宋体" w:hAnsi="Times New Roman" w:cs="Times New Roman"/>
          <w:sz w:val="24"/>
        </w:rPr>
        <w:t>退火温度等。</w:t>
      </w:r>
    </w:p>
    <w:p w:rsidR="00F01313" w:rsidRDefault="0077771D">
      <w:pPr>
        <w:numPr>
          <w:ilvl w:val="0"/>
          <w:numId w:val="2"/>
        </w:num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扩增前后要使用专用的区域和</w:t>
      </w:r>
      <w:proofErr w:type="gramStart"/>
      <w:r>
        <w:rPr>
          <w:rFonts w:ascii="Times New Roman" w:eastAsia="宋体" w:hAnsi="Times New Roman" w:cs="Times New Roman"/>
          <w:sz w:val="24"/>
        </w:rPr>
        <w:t>移液</w:t>
      </w:r>
      <w:proofErr w:type="gramEnd"/>
      <w:r>
        <w:rPr>
          <w:rFonts w:ascii="Times New Roman" w:eastAsia="宋体" w:hAnsi="Times New Roman" w:cs="Times New Roman"/>
          <w:sz w:val="24"/>
        </w:rPr>
        <w:t>器，戴手套操作并经常更换，</w:t>
      </w:r>
      <w:r>
        <w:rPr>
          <w:rFonts w:ascii="Times New Roman" w:eastAsia="宋体" w:hAnsi="Times New Roman" w:cs="Times New Roman"/>
          <w:sz w:val="24"/>
        </w:rPr>
        <w:t>PCR</w:t>
      </w:r>
      <w:r>
        <w:rPr>
          <w:rFonts w:ascii="Times New Roman" w:eastAsia="宋体" w:hAnsi="Times New Roman" w:cs="Times New Roman"/>
          <w:sz w:val="24"/>
        </w:rPr>
        <w:t>反应完成后切勿直接打开反应管，可放于</w:t>
      </w:r>
      <w:r>
        <w:rPr>
          <w:rFonts w:ascii="Times New Roman" w:eastAsia="宋体" w:hAnsi="Times New Roman" w:cs="Times New Roman"/>
          <w:sz w:val="24"/>
        </w:rPr>
        <w:t>4℃</w:t>
      </w:r>
      <w:r>
        <w:rPr>
          <w:rFonts w:ascii="Times New Roman" w:eastAsia="宋体" w:hAnsi="Times New Roman" w:cs="Times New Roman"/>
          <w:sz w:val="24"/>
        </w:rPr>
        <w:t>或者</w:t>
      </w:r>
      <w:r>
        <w:rPr>
          <w:rFonts w:ascii="Times New Roman" w:eastAsia="宋体" w:hAnsi="Times New Roman" w:cs="Times New Roman"/>
          <w:sz w:val="24"/>
        </w:rPr>
        <w:t>-20℃</w:t>
      </w:r>
      <w:r>
        <w:rPr>
          <w:rFonts w:ascii="Times New Roman" w:eastAsia="宋体" w:hAnsi="Times New Roman" w:cs="Times New Roman"/>
          <w:sz w:val="24"/>
        </w:rPr>
        <w:t>充分冷却后再进行开盖操作，以最大限度的减少</w:t>
      </w:r>
      <w:r>
        <w:rPr>
          <w:rFonts w:ascii="Times New Roman" w:eastAsia="宋体" w:hAnsi="Times New Roman" w:cs="Times New Roman"/>
          <w:sz w:val="24"/>
        </w:rPr>
        <w:t>PCR</w:t>
      </w:r>
      <w:r>
        <w:rPr>
          <w:rFonts w:ascii="Times New Roman" w:eastAsia="宋体" w:hAnsi="Times New Roman" w:cs="Times New Roman"/>
          <w:sz w:val="24"/>
        </w:rPr>
        <w:t>产物可能对实验环境产生污染的风险。</w:t>
      </w:r>
    </w:p>
    <w:sectPr w:rsidR="00F0131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71D" w:rsidRDefault="0077771D">
      <w:r>
        <w:separator/>
      </w:r>
    </w:p>
  </w:endnote>
  <w:endnote w:type="continuationSeparator" w:id="0">
    <w:p w:rsidR="0077771D" w:rsidRDefault="0077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0" w:rsidRDefault="007872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13" w:rsidRDefault="00F013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0" w:rsidRDefault="007872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71D" w:rsidRDefault="0077771D">
      <w:r>
        <w:separator/>
      </w:r>
    </w:p>
  </w:footnote>
  <w:footnote w:type="continuationSeparator" w:id="0">
    <w:p w:rsidR="0077771D" w:rsidRDefault="0077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0" w:rsidRDefault="007872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13" w:rsidRDefault="0077771D">
    <w:pPr>
      <w:pStyle w:val="a5"/>
    </w:pPr>
    <w:bookmarkStart w:id="0" w:name="_GoBack"/>
    <w:bookmarkEnd w:id="0"/>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20" w:rsidRDefault="007872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B424F"/>
    <w:multiLevelType w:val="singleLevel"/>
    <w:tmpl w:val="E25B424F"/>
    <w:lvl w:ilvl="0">
      <w:start w:val="1"/>
      <w:numFmt w:val="decimal"/>
      <w:suff w:val="space"/>
      <w:lvlText w:val="%1."/>
      <w:lvlJc w:val="left"/>
    </w:lvl>
  </w:abstractNum>
  <w:abstractNum w:abstractNumId="1">
    <w:nsid w:val="6378228E"/>
    <w:multiLevelType w:val="singleLevel"/>
    <w:tmpl w:val="6378228E"/>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F01313"/>
    <w:rsid w:val="000A71EE"/>
    <w:rsid w:val="0077771D"/>
    <w:rsid w:val="00787220"/>
    <w:rsid w:val="00F01313"/>
    <w:rsid w:val="012074A4"/>
    <w:rsid w:val="01730D53"/>
    <w:rsid w:val="0239547A"/>
    <w:rsid w:val="03372B16"/>
    <w:rsid w:val="04674A3A"/>
    <w:rsid w:val="05410FC1"/>
    <w:rsid w:val="071B4C37"/>
    <w:rsid w:val="091B4E56"/>
    <w:rsid w:val="09B46D46"/>
    <w:rsid w:val="09FB2368"/>
    <w:rsid w:val="0A66010D"/>
    <w:rsid w:val="0C525237"/>
    <w:rsid w:val="0CA56122"/>
    <w:rsid w:val="0CA8167A"/>
    <w:rsid w:val="0CB50662"/>
    <w:rsid w:val="0CD17F9E"/>
    <w:rsid w:val="0D0E70DF"/>
    <w:rsid w:val="0D5F45D9"/>
    <w:rsid w:val="0E2E0248"/>
    <w:rsid w:val="0F8A7463"/>
    <w:rsid w:val="105B0C8D"/>
    <w:rsid w:val="10AF663F"/>
    <w:rsid w:val="10E72496"/>
    <w:rsid w:val="125123E7"/>
    <w:rsid w:val="13884819"/>
    <w:rsid w:val="138B2994"/>
    <w:rsid w:val="16B05F19"/>
    <w:rsid w:val="19AC71F3"/>
    <w:rsid w:val="1A044257"/>
    <w:rsid w:val="1A374A56"/>
    <w:rsid w:val="1AB04381"/>
    <w:rsid w:val="1B09565B"/>
    <w:rsid w:val="1F320CD8"/>
    <w:rsid w:val="1FF63B2C"/>
    <w:rsid w:val="202478AD"/>
    <w:rsid w:val="21A00317"/>
    <w:rsid w:val="22556D6A"/>
    <w:rsid w:val="22917CB6"/>
    <w:rsid w:val="25690127"/>
    <w:rsid w:val="27524EF6"/>
    <w:rsid w:val="2771308E"/>
    <w:rsid w:val="29CA60A8"/>
    <w:rsid w:val="2BFE3231"/>
    <w:rsid w:val="2C0D6827"/>
    <w:rsid w:val="30323445"/>
    <w:rsid w:val="31DE5971"/>
    <w:rsid w:val="324056DF"/>
    <w:rsid w:val="34766DCF"/>
    <w:rsid w:val="352E05A3"/>
    <w:rsid w:val="35447F8D"/>
    <w:rsid w:val="358D0F0B"/>
    <w:rsid w:val="35F068AA"/>
    <w:rsid w:val="364F3943"/>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5D61BB5"/>
    <w:rsid w:val="49F80122"/>
    <w:rsid w:val="4B4711F0"/>
    <w:rsid w:val="4B485BA6"/>
    <w:rsid w:val="4DA0397A"/>
    <w:rsid w:val="4E6E1906"/>
    <w:rsid w:val="4EB45736"/>
    <w:rsid w:val="4EDD569B"/>
    <w:rsid w:val="4EDD5EE3"/>
    <w:rsid w:val="4F150182"/>
    <w:rsid w:val="4FA77519"/>
    <w:rsid w:val="519D1BB8"/>
    <w:rsid w:val="51DD405E"/>
    <w:rsid w:val="51F53723"/>
    <w:rsid w:val="53277CA7"/>
    <w:rsid w:val="535C07C6"/>
    <w:rsid w:val="542B4307"/>
    <w:rsid w:val="54710F99"/>
    <w:rsid w:val="54B94DA4"/>
    <w:rsid w:val="55F84612"/>
    <w:rsid w:val="57034A09"/>
    <w:rsid w:val="58D32749"/>
    <w:rsid w:val="594F07F2"/>
    <w:rsid w:val="5AC86291"/>
    <w:rsid w:val="5B783B11"/>
    <w:rsid w:val="5D7C065F"/>
    <w:rsid w:val="5D8114B1"/>
    <w:rsid w:val="5EB46D84"/>
    <w:rsid w:val="5ECA0EDF"/>
    <w:rsid w:val="604663A9"/>
    <w:rsid w:val="61071063"/>
    <w:rsid w:val="61B943D3"/>
    <w:rsid w:val="635973E4"/>
    <w:rsid w:val="65605ABA"/>
    <w:rsid w:val="66AE3D8B"/>
    <w:rsid w:val="67E8720F"/>
    <w:rsid w:val="68283A50"/>
    <w:rsid w:val="68EE777B"/>
    <w:rsid w:val="6918002D"/>
    <w:rsid w:val="6DB723DB"/>
    <w:rsid w:val="6E6D05A9"/>
    <w:rsid w:val="6EF566F9"/>
    <w:rsid w:val="6F3D4C92"/>
    <w:rsid w:val="708446DD"/>
    <w:rsid w:val="710028B2"/>
    <w:rsid w:val="71253CDD"/>
    <w:rsid w:val="71DD63EE"/>
    <w:rsid w:val="71FD3196"/>
    <w:rsid w:val="72924FE4"/>
    <w:rsid w:val="7521355C"/>
    <w:rsid w:val="76DA5057"/>
    <w:rsid w:val="7B4E45C4"/>
    <w:rsid w:val="7BCF7EF3"/>
    <w:rsid w:val="7D926BCD"/>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326A7F6ADDF248798F975D02286BCB5F</vt:lpwstr>
  </property>
</Properties>
</file>