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3E" w:rsidRDefault="00D97E3E">
      <w:pPr>
        <w:rPr>
          <w:rFonts w:ascii="Times New Roman" w:hAnsi="Times New Roman" w:cs="Times New Roman"/>
          <w:vanish/>
          <w:sz w:val="24"/>
        </w:rPr>
      </w:pPr>
    </w:p>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D97E3E">
        <w:trPr>
          <w:trHeight w:val="412"/>
          <w:jc w:val="center"/>
        </w:trPr>
        <w:tc>
          <w:tcPr>
            <w:tcW w:w="10140" w:type="dxa"/>
            <w:tcBorders>
              <w:tl2br w:val="nil"/>
              <w:tr2bl w:val="nil"/>
            </w:tcBorders>
          </w:tcPr>
          <w:p w:rsidR="00D97E3E" w:rsidRDefault="0009369E">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D97E3E" w:rsidRDefault="0009369E" w:rsidP="00A8270A">
      <w:pPr>
        <w:spacing w:beforeLines="50" w:before="156" w:afterLines="50" w:after="156"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2× SYBR Green qPCR Mix</w:t>
      </w:r>
    </w:p>
    <w:p w:rsidR="00D97E3E" w:rsidRDefault="0009369E" w:rsidP="00A8270A">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bookmarkStart w:id="0" w:name="_GoBack"/>
      <w:r>
        <w:rPr>
          <w:rFonts w:ascii="Times New Roman" w:eastAsia="黑体" w:hAnsi="Times New Roman" w:cs="Times New Roman"/>
          <w:b/>
          <w:bCs/>
          <w:sz w:val="28"/>
          <w:szCs w:val="28"/>
        </w:rPr>
        <w:t xml:space="preserve">EH003                 </w:t>
      </w:r>
      <w:bookmarkEnd w:id="0"/>
      <w:r>
        <w:rPr>
          <w:rFonts w:ascii="Times New Roman" w:eastAsia="黑体" w:hAnsi="Times New Roman" w:cs="Times New Roman"/>
          <w:b/>
          <w:bCs/>
          <w:sz w:val="28"/>
          <w:szCs w:val="28"/>
        </w:rPr>
        <w:t>规格：</w:t>
      </w:r>
      <w:r>
        <w:rPr>
          <w:rFonts w:ascii="Times New Roman" w:eastAsia="黑体" w:hAnsi="Times New Roman" w:cs="Times New Roman"/>
          <w:b/>
          <w:bCs/>
          <w:sz w:val="28"/>
          <w:szCs w:val="28"/>
        </w:rPr>
        <w:t xml:space="preserve">300μL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D97E3E" w:rsidRDefault="0009369E">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D97E3E" w:rsidRDefault="0009369E">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本产品是采用</w:t>
      </w:r>
      <w:r>
        <w:rPr>
          <w:rFonts w:ascii="Times New Roman" w:eastAsia="宋体" w:hAnsi="Times New Roman" w:cs="Times New Roman"/>
          <w:sz w:val="24"/>
        </w:rPr>
        <w:t>SYBR Green I</w:t>
      </w:r>
      <w:r>
        <w:rPr>
          <w:rFonts w:ascii="Times New Roman" w:eastAsia="宋体" w:hAnsi="Times New Roman" w:cs="Times New Roman"/>
          <w:sz w:val="24"/>
        </w:rPr>
        <w:t>染料嵌合荧光法进行</w:t>
      </w:r>
      <w:r>
        <w:rPr>
          <w:rFonts w:ascii="Times New Roman" w:eastAsia="宋体" w:hAnsi="Times New Roman" w:cs="Times New Roman"/>
          <w:sz w:val="24"/>
        </w:rPr>
        <w:t xml:space="preserve">Real Time </w:t>
      </w:r>
      <w:r>
        <w:rPr>
          <w:rFonts w:ascii="Times New Roman" w:eastAsia="宋体" w:hAnsi="Times New Roman" w:cs="Times New Roman"/>
          <w:sz w:val="24"/>
        </w:rPr>
        <w:t>PCR</w:t>
      </w:r>
      <w:r>
        <w:rPr>
          <w:rFonts w:ascii="Times New Roman" w:eastAsia="宋体" w:hAnsi="Times New Roman" w:cs="Times New Roman"/>
          <w:sz w:val="24"/>
        </w:rPr>
        <w:t>的专用试剂，含有抗体封闭型热启动酶，能够有效抑制低温条件下引物非特异性退火或者引物二聚体引起的非特异性扩增，提高扩增反应的特异性。本产品具备扩增效率高、检测特异性及灵敏度强、稳定性好、操作使用简便等特点，可以在较宽定量区域内得到良好的标准曲线，准确进行定量，同时与</w:t>
      </w:r>
      <w:r>
        <w:rPr>
          <w:rFonts w:ascii="Times New Roman" w:eastAsia="宋体" w:hAnsi="Times New Roman" w:cs="Times New Roman"/>
          <w:sz w:val="24"/>
        </w:rPr>
        <w:t>Applied Biosystems</w:t>
      </w:r>
      <w:r>
        <w:rPr>
          <w:rFonts w:ascii="Times New Roman" w:eastAsia="宋体" w:hAnsi="Times New Roman" w:cs="Times New Roman"/>
          <w:sz w:val="24"/>
        </w:rPr>
        <w:t>、</w:t>
      </w:r>
      <w:r>
        <w:rPr>
          <w:rFonts w:ascii="Times New Roman" w:eastAsia="宋体" w:hAnsi="Times New Roman" w:cs="Times New Roman"/>
          <w:sz w:val="24"/>
        </w:rPr>
        <w:t>Eppendorf</w:t>
      </w:r>
      <w:r>
        <w:rPr>
          <w:rFonts w:ascii="Times New Roman" w:eastAsia="宋体" w:hAnsi="Times New Roman" w:cs="Times New Roman"/>
          <w:sz w:val="24"/>
        </w:rPr>
        <w:t>、</w:t>
      </w:r>
      <w:r>
        <w:rPr>
          <w:rFonts w:ascii="Times New Roman" w:eastAsia="宋体" w:hAnsi="Times New Roman" w:cs="Times New Roman"/>
          <w:sz w:val="24"/>
        </w:rPr>
        <w:t>Bio-Rad</w:t>
      </w:r>
      <w:r>
        <w:rPr>
          <w:rFonts w:ascii="Times New Roman" w:eastAsia="宋体" w:hAnsi="Times New Roman" w:cs="Times New Roman"/>
          <w:sz w:val="24"/>
        </w:rPr>
        <w:t>、</w:t>
      </w:r>
      <w:r>
        <w:rPr>
          <w:rFonts w:ascii="Times New Roman" w:eastAsia="宋体" w:hAnsi="Times New Roman" w:cs="Times New Roman"/>
          <w:sz w:val="24"/>
        </w:rPr>
        <w:t>Roche</w:t>
      </w:r>
      <w:r>
        <w:rPr>
          <w:rFonts w:ascii="Times New Roman" w:eastAsia="宋体" w:hAnsi="Times New Roman" w:cs="Times New Roman"/>
          <w:sz w:val="24"/>
        </w:rPr>
        <w:t>及国产品牌等的多家荧光定量</w:t>
      </w:r>
      <w:r>
        <w:rPr>
          <w:rFonts w:ascii="Times New Roman" w:eastAsia="宋体" w:hAnsi="Times New Roman" w:cs="Times New Roman"/>
          <w:sz w:val="24"/>
        </w:rPr>
        <w:t>PCR</w:t>
      </w:r>
      <w:r>
        <w:rPr>
          <w:rFonts w:ascii="Times New Roman" w:eastAsia="宋体" w:hAnsi="Times New Roman" w:cs="Times New Roman"/>
          <w:sz w:val="24"/>
        </w:rPr>
        <w:t>仪兼容。</w:t>
      </w:r>
    </w:p>
    <w:p w:rsidR="00D97E3E" w:rsidRDefault="0009369E">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7"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70"/>
        <w:gridCol w:w="4870"/>
      </w:tblGrid>
      <w:tr w:rsidR="00D97E3E">
        <w:trPr>
          <w:trHeight w:hRule="exact" w:val="441"/>
        </w:trPr>
        <w:tc>
          <w:tcPr>
            <w:tcW w:w="2500" w:type="pct"/>
            <w:tcBorders>
              <w:left w:val="nil"/>
              <w:right w:val="nil"/>
            </w:tcBorders>
            <w:vAlign w:val="center"/>
          </w:tcPr>
          <w:p w:rsidR="00D97E3E" w:rsidRDefault="0009369E">
            <w:pPr>
              <w:spacing w:line="460" w:lineRule="exact"/>
              <w:jc w:val="center"/>
              <w:rPr>
                <w:rFonts w:ascii="Times New Roman" w:hAnsi="Times New Roman" w:cs="Times New Roman"/>
                <w:b/>
                <w:bCs/>
                <w:sz w:val="24"/>
              </w:rPr>
            </w:pPr>
            <w:r>
              <w:rPr>
                <w:rFonts w:ascii="Times New Roman" w:hAnsi="Times New Roman" w:cs="Times New Roman"/>
                <w:sz w:val="24"/>
              </w:rPr>
              <w:t>组分</w:t>
            </w:r>
          </w:p>
        </w:tc>
        <w:tc>
          <w:tcPr>
            <w:tcW w:w="2500" w:type="pct"/>
            <w:tcBorders>
              <w:left w:val="nil"/>
              <w:right w:val="nil"/>
            </w:tcBorders>
            <w:vAlign w:val="center"/>
          </w:tcPr>
          <w:p w:rsidR="00D97E3E" w:rsidRDefault="0009369E">
            <w:pPr>
              <w:widowControl/>
              <w:spacing w:line="460" w:lineRule="exact"/>
              <w:jc w:val="center"/>
              <w:textAlignment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E</w:t>
            </w:r>
            <w:r>
              <w:rPr>
                <w:rFonts w:ascii="Times New Roman" w:eastAsia="宋体" w:hAnsi="Times New Roman" w:cs="Times New Roman" w:hint="eastAsia"/>
                <w:color w:val="000000"/>
                <w:kern w:val="0"/>
                <w:sz w:val="24"/>
                <w:lang w:bidi="ar"/>
              </w:rPr>
              <w:t>H</w:t>
            </w:r>
            <w:r>
              <w:rPr>
                <w:rFonts w:ascii="Times New Roman" w:eastAsia="宋体" w:hAnsi="Times New Roman" w:cs="Times New Roman"/>
                <w:color w:val="000000"/>
                <w:kern w:val="0"/>
                <w:sz w:val="24"/>
                <w:lang w:bidi="ar"/>
              </w:rPr>
              <w:t>00</w:t>
            </w:r>
            <w:r>
              <w:rPr>
                <w:rFonts w:ascii="Times New Roman" w:eastAsia="宋体" w:hAnsi="Times New Roman" w:cs="Times New Roman" w:hint="eastAsia"/>
                <w:color w:val="000000"/>
                <w:kern w:val="0"/>
                <w:sz w:val="24"/>
                <w:lang w:bidi="ar"/>
              </w:rPr>
              <w:t>3-01</w:t>
            </w:r>
          </w:p>
        </w:tc>
      </w:tr>
      <w:tr w:rsidR="00D97E3E">
        <w:trPr>
          <w:trHeight w:hRule="exact" w:val="474"/>
        </w:trPr>
        <w:tc>
          <w:tcPr>
            <w:tcW w:w="2500" w:type="pct"/>
            <w:tcBorders>
              <w:left w:val="nil"/>
              <w:right w:val="nil"/>
            </w:tcBorders>
            <w:vAlign w:val="center"/>
          </w:tcPr>
          <w:p w:rsidR="00D97E3E" w:rsidRDefault="0009369E">
            <w:pPr>
              <w:spacing w:line="460" w:lineRule="exact"/>
              <w:jc w:val="center"/>
              <w:rPr>
                <w:rFonts w:ascii="Times New Roman" w:eastAsia="宋体" w:hAnsi="Times New Roman" w:cs="Times New Roman"/>
                <w:sz w:val="24"/>
              </w:rPr>
            </w:pPr>
            <w:r>
              <w:rPr>
                <w:rFonts w:ascii="Times New Roman" w:eastAsia="宋体" w:hAnsi="Times New Roman" w:cs="Times New Roman"/>
                <w:sz w:val="24"/>
              </w:rPr>
              <w:t>2× SYBR Green qPCR Mix</w:t>
            </w:r>
          </w:p>
        </w:tc>
        <w:tc>
          <w:tcPr>
            <w:tcW w:w="2500" w:type="pct"/>
            <w:tcBorders>
              <w:left w:val="nil"/>
              <w:right w:val="nil"/>
            </w:tcBorders>
            <w:vAlign w:val="center"/>
          </w:tcPr>
          <w:p w:rsidR="00D97E3E" w:rsidRDefault="0009369E">
            <w:pPr>
              <w:spacing w:line="460" w:lineRule="exact"/>
              <w:jc w:val="center"/>
              <w:rPr>
                <w:rFonts w:ascii="Times New Roman" w:hAnsi="Times New Roman" w:cs="Times New Roman"/>
                <w:sz w:val="24"/>
              </w:rPr>
            </w:pPr>
            <w:r>
              <w:rPr>
                <w:rFonts w:ascii="Times New Roman" w:eastAsia="宋体" w:hAnsi="Times New Roman" w:cs="Times New Roman"/>
                <w:color w:val="000000"/>
                <w:kern w:val="0"/>
                <w:sz w:val="24"/>
                <w:lang w:bidi="ar"/>
              </w:rPr>
              <w:t>300μL</w:t>
            </w:r>
          </w:p>
        </w:tc>
      </w:tr>
    </w:tbl>
    <w:p w:rsidR="00D97E3E" w:rsidRDefault="0009369E">
      <w:pPr>
        <w:spacing w:line="460" w:lineRule="exact"/>
        <w:ind w:firstLineChars="200" w:firstLine="482"/>
        <w:rPr>
          <w:rFonts w:ascii="Times New Roman" w:eastAsia="宋体" w:hAnsi="Times New Roman" w:cs="Times New Roman"/>
          <w:color w:val="000000"/>
          <w:kern w:val="0"/>
          <w:sz w:val="24"/>
          <w:lang w:bidi="ar"/>
        </w:rPr>
      </w:pPr>
      <w:r>
        <w:rPr>
          <w:rFonts w:ascii="Times New Roman" w:eastAsia="宋体" w:hAnsi="Times New Roman" w:cs="Times New Roman"/>
          <w:b/>
          <w:bCs/>
          <w:color w:val="000000"/>
          <w:kern w:val="0"/>
          <w:sz w:val="24"/>
          <w:lang w:bidi="ar"/>
        </w:rPr>
        <w:t>注意：</w:t>
      </w:r>
      <w:r>
        <w:rPr>
          <w:rFonts w:ascii="Times New Roman" w:eastAsia="宋体" w:hAnsi="Times New Roman" w:cs="Times New Roman"/>
          <w:color w:val="000000"/>
          <w:kern w:val="0"/>
          <w:sz w:val="24"/>
          <w:lang w:bidi="ar"/>
        </w:rPr>
        <w:t>自备或与厂家联系购置</w:t>
      </w:r>
      <w:r>
        <w:rPr>
          <w:rFonts w:ascii="Times New Roman" w:eastAsia="宋体" w:hAnsi="Times New Roman" w:cs="Times New Roman"/>
          <w:color w:val="000000"/>
          <w:kern w:val="0"/>
          <w:sz w:val="24"/>
          <w:lang w:bidi="ar"/>
        </w:rPr>
        <w:t>ROX Reference Dye</w:t>
      </w:r>
      <w:r>
        <w:rPr>
          <w:rFonts w:ascii="Times New Roman" w:eastAsia="宋体" w:hAnsi="Times New Roman" w:cs="Times New Roman"/>
          <w:color w:val="000000"/>
          <w:kern w:val="0"/>
          <w:sz w:val="24"/>
          <w:lang w:bidi="ar"/>
        </w:rPr>
        <w:t>，用以校正部分公司</w:t>
      </w:r>
      <w:r>
        <w:rPr>
          <w:rFonts w:ascii="Times New Roman" w:eastAsia="宋体" w:hAnsi="Times New Roman" w:cs="Times New Roman"/>
          <w:color w:val="000000"/>
          <w:kern w:val="0"/>
          <w:sz w:val="24"/>
          <w:lang w:bidi="ar"/>
        </w:rPr>
        <w:t>Real Time PCR</w:t>
      </w:r>
      <w:r>
        <w:rPr>
          <w:rFonts w:ascii="Times New Roman" w:eastAsia="宋体" w:hAnsi="Times New Roman" w:cs="Times New Roman"/>
          <w:color w:val="000000"/>
          <w:kern w:val="0"/>
          <w:sz w:val="24"/>
          <w:lang w:bidi="ar"/>
        </w:rPr>
        <w:t>扩增仪的孔间荧光信号误差。</w:t>
      </w:r>
      <w:r>
        <w:rPr>
          <w:rFonts w:ascii="Times New Roman" w:eastAsia="宋体" w:hAnsi="Times New Roman" w:cs="Times New Roman"/>
          <w:color w:val="000000"/>
          <w:kern w:val="0"/>
          <w:sz w:val="24"/>
          <w:lang w:bidi="ar"/>
        </w:rPr>
        <w:t>ROX Reference Dye 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ABI PRISM 7000/7700/7300/7900HT</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Step One Plus Real-Time PCR System</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Reference Dye II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7500 Real-Time PCR System</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7500 Fast Real -Time PCR System</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Stratagene</w:t>
      </w:r>
      <w:proofErr w:type="spellEnd"/>
      <w:r>
        <w:rPr>
          <w:rFonts w:ascii="Times New Roman" w:eastAsia="宋体" w:hAnsi="Times New Roman" w:cs="Times New Roman"/>
          <w:color w:val="000000"/>
          <w:kern w:val="0"/>
          <w:sz w:val="24"/>
          <w:lang w:bidi="ar"/>
        </w:rPr>
        <w:t xml:space="preserve"> Mx3000P</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Mx30</w:t>
      </w:r>
      <w:r>
        <w:rPr>
          <w:rFonts w:ascii="Times New Roman" w:eastAsia="宋体" w:hAnsi="Times New Roman" w:cs="Times New Roman"/>
          <w:color w:val="000000"/>
          <w:kern w:val="0"/>
          <w:sz w:val="24"/>
          <w:lang w:bidi="ar"/>
        </w:rPr>
        <w:t>05P</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Mx4000</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Reference Dye 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II</w:t>
      </w:r>
      <w:r>
        <w:rPr>
          <w:rFonts w:ascii="Times New Roman" w:eastAsia="宋体" w:hAnsi="Times New Roman" w:cs="Times New Roman"/>
          <w:color w:val="000000"/>
          <w:kern w:val="0"/>
          <w:sz w:val="24"/>
          <w:lang w:bidi="ar"/>
        </w:rPr>
        <w:t>反应终浓度均为</w:t>
      </w: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LightCycler</w:t>
      </w:r>
      <w:proofErr w:type="spellEnd"/>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Thermal Cycler Dice Real Time System II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Smart Cycler System</w:t>
      </w:r>
      <w:r>
        <w:rPr>
          <w:rFonts w:ascii="Times New Roman" w:eastAsia="宋体" w:hAnsi="Times New Roman" w:cs="Times New Roman"/>
          <w:color w:val="000000"/>
          <w:kern w:val="0"/>
          <w:sz w:val="24"/>
          <w:lang w:bidi="ar"/>
        </w:rPr>
        <w:t>等实时荧光定量</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扩增仪不需使用。</w:t>
      </w:r>
    </w:p>
    <w:p w:rsidR="00D97E3E" w:rsidRDefault="0009369E">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储存条件：</w:t>
      </w:r>
    </w:p>
    <w:p w:rsidR="00D97E3E" w:rsidRDefault="0009369E">
      <w:pPr>
        <w:spacing w:line="46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-20℃</w:t>
      </w:r>
      <w:r>
        <w:rPr>
          <w:rFonts w:ascii="Times New Roman" w:eastAsia="宋体" w:hAnsi="Times New Roman" w:cs="Times New Roman"/>
          <w:color w:val="000000"/>
          <w:kern w:val="0"/>
          <w:sz w:val="24"/>
          <w:lang w:bidi="ar"/>
        </w:rPr>
        <w:t>条件下保存，有效期至少</w:t>
      </w:r>
      <w:r>
        <w:rPr>
          <w:rFonts w:ascii="Times New Roman" w:eastAsia="宋体" w:hAnsi="Times New Roman" w:cs="Times New Roman"/>
          <w:color w:val="000000"/>
          <w:kern w:val="0"/>
          <w:sz w:val="24"/>
          <w:lang w:bidi="ar"/>
        </w:rPr>
        <w:t>12</w:t>
      </w:r>
      <w:r>
        <w:rPr>
          <w:rFonts w:ascii="Times New Roman" w:eastAsia="宋体" w:hAnsi="Times New Roman" w:cs="Times New Roman"/>
          <w:color w:val="000000"/>
          <w:kern w:val="0"/>
          <w:sz w:val="24"/>
          <w:lang w:bidi="ar"/>
        </w:rPr>
        <w:t>个月。</w:t>
      </w:r>
    </w:p>
    <w:p w:rsidR="00D97E3E" w:rsidRDefault="0009369E">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活性定义：</w:t>
      </w:r>
    </w:p>
    <w:p w:rsidR="00D97E3E" w:rsidRDefault="0009369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用活性化的大马哈鱼精子</w:t>
      </w:r>
      <w:r>
        <w:rPr>
          <w:rFonts w:ascii="Times New Roman" w:eastAsia="宋体" w:hAnsi="Times New Roman" w:cs="Times New Roman"/>
          <w:sz w:val="24"/>
        </w:rPr>
        <w:t>DNA</w:t>
      </w:r>
      <w:r>
        <w:rPr>
          <w:rFonts w:ascii="Times New Roman" w:eastAsia="宋体" w:hAnsi="Times New Roman" w:cs="Times New Roman"/>
          <w:sz w:val="24"/>
        </w:rPr>
        <w:t>作为模板</w:t>
      </w:r>
      <w:r>
        <w:rPr>
          <w:rFonts w:ascii="Times New Roman" w:eastAsia="宋体" w:hAnsi="Times New Roman" w:cs="Times New Roman"/>
          <w:sz w:val="24"/>
        </w:rPr>
        <w:t>/</w:t>
      </w:r>
      <w:r>
        <w:rPr>
          <w:rFonts w:ascii="Times New Roman" w:eastAsia="宋体" w:hAnsi="Times New Roman" w:cs="Times New Roman"/>
          <w:sz w:val="24"/>
        </w:rPr>
        <w:t>引物，在</w:t>
      </w:r>
      <w:r>
        <w:rPr>
          <w:rFonts w:ascii="Times New Roman" w:eastAsia="宋体" w:hAnsi="Times New Roman" w:cs="Times New Roman"/>
          <w:sz w:val="24"/>
        </w:rPr>
        <w:t>74℃</w:t>
      </w:r>
      <w:r>
        <w:rPr>
          <w:rFonts w:ascii="Times New Roman" w:eastAsia="宋体" w:hAnsi="Times New Roman" w:cs="Times New Roman"/>
          <w:sz w:val="24"/>
        </w:rPr>
        <w:t>，</w:t>
      </w:r>
      <w:r>
        <w:rPr>
          <w:rFonts w:ascii="Times New Roman" w:eastAsia="宋体" w:hAnsi="Times New Roman" w:cs="Times New Roman"/>
          <w:sz w:val="24"/>
        </w:rPr>
        <w:t>30</w:t>
      </w:r>
      <w:r>
        <w:rPr>
          <w:rFonts w:ascii="Times New Roman" w:eastAsia="宋体" w:hAnsi="Times New Roman" w:cs="Times New Roman"/>
          <w:sz w:val="24"/>
        </w:rPr>
        <w:t>分钟内，摄入</w:t>
      </w:r>
      <w:r>
        <w:rPr>
          <w:rFonts w:ascii="Times New Roman" w:eastAsia="宋体" w:hAnsi="Times New Roman" w:cs="Times New Roman"/>
          <w:sz w:val="24"/>
        </w:rPr>
        <w:t>10nmol</w:t>
      </w:r>
      <w:r>
        <w:rPr>
          <w:rFonts w:ascii="Times New Roman" w:eastAsia="宋体" w:hAnsi="Times New Roman" w:cs="Times New Roman"/>
          <w:sz w:val="24"/>
        </w:rPr>
        <w:t>的全核苷酸为酸性不溶物的活性定义为</w:t>
      </w:r>
      <w:r>
        <w:rPr>
          <w:rFonts w:ascii="Times New Roman" w:eastAsia="宋体" w:hAnsi="Times New Roman" w:cs="Times New Roman"/>
          <w:sz w:val="24"/>
        </w:rPr>
        <w:t>1</w:t>
      </w:r>
      <w:r>
        <w:rPr>
          <w:rFonts w:ascii="Times New Roman" w:eastAsia="宋体" w:hAnsi="Times New Roman" w:cs="Times New Roman"/>
          <w:sz w:val="24"/>
        </w:rPr>
        <w:t>个活性单位（</w:t>
      </w:r>
      <w:r>
        <w:rPr>
          <w:rFonts w:ascii="Times New Roman" w:eastAsia="宋体" w:hAnsi="Times New Roman" w:cs="Times New Roman"/>
          <w:sz w:val="24"/>
        </w:rPr>
        <w:t>U</w:t>
      </w:r>
      <w:r>
        <w:rPr>
          <w:rFonts w:ascii="Times New Roman" w:eastAsia="宋体" w:hAnsi="Times New Roman" w:cs="Times New Roman"/>
          <w:sz w:val="24"/>
        </w:rPr>
        <w:t>）。</w:t>
      </w:r>
    </w:p>
    <w:p w:rsidR="00D97E3E" w:rsidRDefault="0009369E">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质量控制：</w:t>
      </w:r>
      <w:r>
        <w:rPr>
          <w:rFonts w:ascii="Times New Roman" w:hAnsi="Times New Roman" w:cs="Times New Roman"/>
          <w:b/>
          <w:sz w:val="28"/>
          <w:szCs w:val="28"/>
        </w:rPr>
        <w:t xml:space="preserve"> </w:t>
      </w:r>
    </w:p>
    <w:p w:rsidR="00D97E3E" w:rsidRDefault="0009369E">
      <w:pPr>
        <w:widowControl/>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本产品经质量检测，不含脱氧核糖核酸内切酶活性、脱氧核糖核酸外切酶活性和核糖核酸酶污染。宿主基因组残留低于</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拷贝。</w:t>
      </w:r>
      <w:r>
        <w:rPr>
          <w:rFonts w:ascii="Times New Roman" w:eastAsia="宋体" w:hAnsi="Times New Roman" w:cs="Times New Roman"/>
          <w:sz w:val="24"/>
        </w:rPr>
        <w:t xml:space="preserve"> </w:t>
      </w:r>
    </w:p>
    <w:p w:rsidR="00D97E3E" w:rsidRDefault="0009369E">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产品用途：</w:t>
      </w:r>
    </w:p>
    <w:p w:rsidR="00D97E3E" w:rsidRDefault="0009369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实时荧光定量</w:t>
      </w:r>
      <w:r>
        <w:rPr>
          <w:rFonts w:ascii="Times New Roman" w:eastAsia="宋体" w:hAnsi="Times New Roman" w:cs="Times New Roman"/>
          <w:sz w:val="24"/>
        </w:rPr>
        <w:t>qPCR</w:t>
      </w:r>
      <w:r>
        <w:rPr>
          <w:rFonts w:ascii="Times New Roman" w:eastAsia="宋体" w:hAnsi="Times New Roman" w:cs="Times New Roman"/>
          <w:sz w:val="24"/>
        </w:rPr>
        <w:t>（染料法）扩增</w:t>
      </w:r>
      <w:r>
        <w:rPr>
          <w:rFonts w:ascii="Times New Roman" w:eastAsia="宋体" w:hAnsi="Times New Roman" w:cs="Times New Roman"/>
          <w:sz w:val="24"/>
        </w:rPr>
        <w:t>DNA</w:t>
      </w:r>
      <w:r>
        <w:rPr>
          <w:rFonts w:ascii="Times New Roman" w:eastAsia="宋体" w:hAnsi="Times New Roman" w:cs="Times New Roman"/>
          <w:sz w:val="24"/>
        </w:rPr>
        <w:t>或</w:t>
      </w:r>
      <w:r>
        <w:rPr>
          <w:rFonts w:ascii="Times New Roman" w:eastAsia="宋体" w:hAnsi="Times New Roman" w:cs="Times New Roman"/>
          <w:sz w:val="24"/>
        </w:rPr>
        <w:t>cDNA</w:t>
      </w:r>
      <w:r>
        <w:rPr>
          <w:rFonts w:ascii="Times New Roman" w:eastAsia="宋体" w:hAnsi="Times New Roman" w:cs="Times New Roman"/>
          <w:sz w:val="24"/>
        </w:rPr>
        <w:t>；绝对定量</w:t>
      </w:r>
      <w:r>
        <w:rPr>
          <w:rFonts w:ascii="Times New Roman" w:eastAsia="宋体" w:hAnsi="Times New Roman" w:cs="Times New Roman"/>
          <w:sz w:val="24"/>
        </w:rPr>
        <w:t>qPCR</w:t>
      </w:r>
      <w:r>
        <w:rPr>
          <w:rFonts w:ascii="Times New Roman" w:eastAsia="宋体" w:hAnsi="Times New Roman" w:cs="Times New Roman"/>
          <w:sz w:val="24"/>
        </w:rPr>
        <w:t>；相对定量</w:t>
      </w:r>
      <w:r>
        <w:rPr>
          <w:rFonts w:ascii="Times New Roman" w:eastAsia="宋体" w:hAnsi="Times New Roman" w:cs="Times New Roman"/>
          <w:sz w:val="24"/>
        </w:rPr>
        <w:t>qPCR</w:t>
      </w:r>
      <w:r>
        <w:rPr>
          <w:rFonts w:ascii="Times New Roman" w:eastAsia="宋体" w:hAnsi="Times New Roman" w:cs="Times New Roman"/>
          <w:sz w:val="24"/>
        </w:rPr>
        <w:t>。</w:t>
      </w:r>
      <w:r>
        <w:rPr>
          <w:rFonts w:ascii="Times New Roman" w:eastAsia="宋体" w:hAnsi="Times New Roman" w:cs="Times New Roman"/>
          <w:sz w:val="24"/>
        </w:rPr>
        <w:t xml:space="preserve"> </w:t>
      </w:r>
    </w:p>
    <w:p w:rsidR="00D97E3E" w:rsidRDefault="0009369E">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lastRenderedPageBreak/>
        <w:t>操作方法：</w:t>
      </w:r>
    </w:p>
    <w:p w:rsidR="00D97E3E" w:rsidRDefault="0009369E">
      <w:pPr>
        <w:widowControl/>
        <w:numPr>
          <w:ilvl w:val="0"/>
          <w:numId w:val="1"/>
        </w:numPr>
        <w:autoSpaceDE w:val="0"/>
        <w:spacing w:line="360" w:lineRule="exact"/>
        <w:ind w:firstLineChars="200" w:firstLine="480"/>
        <w:rPr>
          <w:rFonts w:ascii="Times New Roman" w:eastAsia="宋体" w:hAnsi="Times New Roman" w:cs="Times New Roman"/>
          <w:sz w:val="24"/>
        </w:rPr>
      </w:pPr>
      <w:r>
        <w:rPr>
          <w:rFonts w:ascii="Times New Roman" w:eastAsia="宋体" w:hAnsi="Times New Roman" w:cs="Times New Roman"/>
          <w:color w:val="000000"/>
          <w:kern w:val="0"/>
          <w:sz w:val="24"/>
          <w:lang w:bidi="ar"/>
        </w:rPr>
        <w:t>将实验所需试剂室温</w:t>
      </w:r>
      <w:proofErr w:type="gramStart"/>
      <w:r>
        <w:rPr>
          <w:rFonts w:ascii="Times New Roman" w:eastAsia="宋体" w:hAnsi="Times New Roman" w:cs="Times New Roman"/>
          <w:color w:val="000000"/>
          <w:kern w:val="0"/>
          <w:sz w:val="24"/>
          <w:lang w:bidi="ar"/>
        </w:rPr>
        <w:t>平衡至</w:t>
      </w:r>
      <w:proofErr w:type="gramEnd"/>
      <w:r>
        <w:rPr>
          <w:rFonts w:ascii="Times New Roman" w:eastAsia="宋体" w:hAnsi="Times New Roman" w:cs="Times New Roman"/>
          <w:color w:val="000000"/>
          <w:kern w:val="0"/>
          <w:sz w:val="24"/>
          <w:lang w:bidi="ar"/>
        </w:rPr>
        <w:t>完全溶解，</w:t>
      </w:r>
      <w:r>
        <w:rPr>
          <w:rFonts w:ascii="Times New Roman" w:eastAsia="宋体" w:hAnsi="Times New Roman" w:cs="Times New Roman"/>
          <w:kern w:val="0"/>
          <w:sz w:val="24"/>
          <w:lang w:bidi="ar"/>
        </w:rPr>
        <w:t>充分温和混匀（请勿涡旋振荡），瞬时离心后使用，避免产生大量气泡，避免反复多次冻融，若经常</w:t>
      </w:r>
      <w:proofErr w:type="gramStart"/>
      <w:r>
        <w:rPr>
          <w:rFonts w:ascii="Times New Roman" w:eastAsia="宋体" w:hAnsi="Times New Roman" w:cs="Times New Roman"/>
          <w:kern w:val="0"/>
          <w:sz w:val="24"/>
          <w:lang w:bidi="ar"/>
        </w:rPr>
        <w:t>使用请</w:t>
      </w:r>
      <w:proofErr w:type="gramEnd"/>
      <w:r>
        <w:rPr>
          <w:rFonts w:ascii="Times New Roman" w:eastAsia="宋体" w:hAnsi="Times New Roman" w:cs="Times New Roman"/>
          <w:kern w:val="0"/>
          <w:sz w:val="24"/>
          <w:lang w:bidi="ar"/>
        </w:rPr>
        <w:t>保存在</w:t>
      </w:r>
      <w:r>
        <w:rPr>
          <w:rFonts w:ascii="Times New Roman" w:eastAsia="宋体" w:hAnsi="Times New Roman" w:cs="Times New Roman"/>
          <w:kern w:val="0"/>
          <w:sz w:val="24"/>
          <w:lang w:bidi="ar"/>
        </w:rPr>
        <w:t>4℃</w:t>
      </w:r>
      <w:r>
        <w:rPr>
          <w:rFonts w:ascii="Times New Roman" w:eastAsia="宋体" w:hAnsi="Times New Roman" w:cs="Times New Roman"/>
          <w:kern w:val="0"/>
          <w:sz w:val="24"/>
          <w:lang w:bidi="ar"/>
        </w:rPr>
        <w:t>。按下</w:t>
      </w:r>
      <w:r>
        <w:rPr>
          <w:rFonts w:ascii="Times New Roman" w:eastAsia="宋体" w:hAnsi="Times New Roman" w:cs="Times New Roman" w:hint="eastAsia"/>
          <w:kern w:val="0"/>
          <w:sz w:val="24"/>
          <w:lang w:bidi="ar"/>
        </w:rPr>
        <w:t>组分配</w:t>
      </w:r>
      <w:r>
        <w:rPr>
          <w:rFonts w:ascii="Times New Roman" w:eastAsia="宋体" w:hAnsi="Times New Roman" w:cs="Times New Roman"/>
          <w:kern w:val="0"/>
          <w:sz w:val="24"/>
          <w:lang w:bidi="ar"/>
        </w:rPr>
        <w:t>制</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反应液（反应液</w:t>
      </w:r>
      <w:proofErr w:type="gramStart"/>
      <w:r>
        <w:rPr>
          <w:rFonts w:ascii="Times New Roman" w:eastAsia="宋体" w:hAnsi="Times New Roman" w:cs="Times New Roman"/>
          <w:kern w:val="0"/>
          <w:sz w:val="24"/>
          <w:lang w:bidi="ar"/>
        </w:rPr>
        <w:t>配制请</w:t>
      </w:r>
      <w:proofErr w:type="gramEnd"/>
      <w:r>
        <w:rPr>
          <w:rFonts w:ascii="Times New Roman" w:eastAsia="宋体" w:hAnsi="Times New Roman" w:cs="Times New Roman"/>
          <w:kern w:val="0"/>
          <w:sz w:val="24"/>
          <w:lang w:bidi="ar"/>
        </w:rPr>
        <w:t>在冰盒上进行）：</w:t>
      </w:r>
      <w:r>
        <w:rPr>
          <w:rFonts w:ascii="Times New Roman" w:eastAsia="宋体" w:hAnsi="Times New Roman" w:cs="Times New Roman"/>
          <w:kern w:val="0"/>
          <w:sz w:val="24"/>
          <w:lang w:bidi="ar"/>
        </w:rPr>
        <w:t xml:space="preserve"> </w:t>
      </w:r>
    </w:p>
    <w:tbl>
      <w:tblPr>
        <w:tblStyle w:val="a6"/>
        <w:tblW w:w="4991" w:type="pct"/>
        <w:tblLook w:val="04A0" w:firstRow="1" w:lastRow="0" w:firstColumn="1" w:lastColumn="0" w:noHBand="0" w:noVBand="1"/>
      </w:tblPr>
      <w:tblGrid>
        <w:gridCol w:w="4986"/>
        <w:gridCol w:w="2478"/>
        <w:gridCol w:w="2480"/>
      </w:tblGrid>
      <w:tr w:rsidR="00D97E3E">
        <w:trPr>
          <w:trHeight w:val="23"/>
        </w:trPr>
        <w:tc>
          <w:tcPr>
            <w:tcW w:w="2506" w:type="pct"/>
            <w:tcBorders>
              <w:top w:val="single" w:sz="4" w:space="0" w:color="auto"/>
              <w:left w:val="nil"/>
              <w:bottom w:val="single" w:sz="4" w:space="0" w:color="auto"/>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试剂</w:t>
            </w:r>
          </w:p>
        </w:tc>
        <w:tc>
          <w:tcPr>
            <w:tcW w:w="1246" w:type="pct"/>
            <w:tcBorders>
              <w:top w:val="single" w:sz="4" w:space="0" w:color="auto"/>
              <w:left w:val="nil"/>
              <w:bottom w:val="single" w:sz="4" w:space="0" w:color="auto"/>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25μL</w:t>
            </w:r>
            <w:r>
              <w:rPr>
                <w:rFonts w:ascii="Times New Roman" w:eastAsia="宋体" w:hAnsi="Times New Roman" w:cs="Times New Roman"/>
                <w:sz w:val="24"/>
              </w:rPr>
              <w:t>体系</w:t>
            </w:r>
          </w:p>
        </w:tc>
        <w:tc>
          <w:tcPr>
            <w:tcW w:w="1247" w:type="pct"/>
            <w:tcBorders>
              <w:top w:val="single" w:sz="4" w:space="0" w:color="auto"/>
              <w:left w:val="nil"/>
              <w:bottom w:val="single" w:sz="4" w:space="0" w:color="auto"/>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终浓度</w:t>
            </w:r>
          </w:p>
        </w:tc>
      </w:tr>
      <w:tr w:rsidR="00D97E3E">
        <w:trPr>
          <w:trHeight w:val="23"/>
        </w:trPr>
        <w:tc>
          <w:tcPr>
            <w:tcW w:w="2506" w:type="pct"/>
            <w:tcBorders>
              <w:top w:val="single" w:sz="4" w:space="0" w:color="auto"/>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 xml:space="preserve">× </w:t>
            </w:r>
            <w:r>
              <w:rPr>
                <w:rFonts w:ascii="Times New Roman" w:eastAsia="宋体" w:hAnsi="Times New Roman" w:cs="Times New Roman"/>
                <w:sz w:val="24"/>
              </w:rPr>
              <w:t>SYBR Green qPCR Mix</w:t>
            </w:r>
          </w:p>
        </w:tc>
        <w:tc>
          <w:tcPr>
            <w:tcW w:w="1246" w:type="pct"/>
            <w:tcBorders>
              <w:top w:val="single" w:sz="4" w:space="0" w:color="auto"/>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12.5μL</w:t>
            </w:r>
          </w:p>
        </w:tc>
        <w:tc>
          <w:tcPr>
            <w:tcW w:w="1247" w:type="pct"/>
            <w:tcBorders>
              <w:top w:val="single" w:sz="4" w:space="0" w:color="auto"/>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D97E3E">
        <w:trPr>
          <w:trHeight w:val="23"/>
        </w:trPr>
        <w:tc>
          <w:tcPr>
            <w:tcW w:w="250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 (10µM)</w:t>
            </w:r>
          </w:p>
        </w:tc>
        <w:tc>
          <w:tcPr>
            <w:tcW w:w="124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D97E3E">
        <w:trPr>
          <w:trHeight w:val="23"/>
        </w:trPr>
        <w:tc>
          <w:tcPr>
            <w:tcW w:w="250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II (10µM)</w:t>
            </w:r>
          </w:p>
        </w:tc>
        <w:tc>
          <w:tcPr>
            <w:tcW w:w="124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D97E3E">
        <w:trPr>
          <w:trHeight w:val="23"/>
        </w:trPr>
        <w:tc>
          <w:tcPr>
            <w:tcW w:w="250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ROX Reference Dye I or ROX Reference Dye II</w:t>
            </w:r>
          </w:p>
        </w:tc>
        <w:tc>
          <w:tcPr>
            <w:tcW w:w="124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0.5μL or 0.25μL</w:t>
            </w:r>
          </w:p>
        </w:tc>
        <w:tc>
          <w:tcPr>
            <w:tcW w:w="1247"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D97E3E">
        <w:trPr>
          <w:trHeight w:val="23"/>
        </w:trPr>
        <w:tc>
          <w:tcPr>
            <w:tcW w:w="250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Template DNA</w:t>
            </w:r>
          </w:p>
        </w:tc>
        <w:tc>
          <w:tcPr>
            <w:tcW w:w="1246"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1-5μL</w:t>
            </w:r>
          </w:p>
        </w:tc>
        <w:tc>
          <w:tcPr>
            <w:tcW w:w="1247" w:type="pct"/>
            <w:tcBorders>
              <w:top w:val="nil"/>
              <w:left w:val="nil"/>
              <w:bottom w:val="nil"/>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D97E3E">
        <w:trPr>
          <w:trHeight w:val="23"/>
        </w:trPr>
        <w:tc>
          <w:tcPr>
            <w:tcW w:w="2506" w:type="pct"/>
            <w:tcBorders>
              <w:top w:val="nil"/>
              <w:left w:val="nil"/>
              <w:bottom w:val="single" w:sz="4" w:space="0" w:color="auto"/>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ddH</w:t>
            </w:r>
            <w:r>
              <w:rPr>
                <w:rFonts w:ascii="Times New Roman" w:eastAsia="宋体" w:hAnsi="Times New Roman" w:cs="Times New Roman"/>
                <w:sz w:val="24"/>
                <w:vertAlign w:val="subscript"/>
              </w:rPr>
              <w:t>2</w:t>
            </w:r>
            <w:r>
              <w:rPr>
                <w:rFonts w:ascii="Times New Roman" w:eastAsia="宋体" w:hAnsi="Times New Roman" w:cs="Times New Roman"/>
                <w:sz w:val="24"/>
              </w:rPr>
              <w:t>O</w:t>
            </w:r>
          </w:p>
        </w:tc>
        <w:tc>
          <w:tcPr>
            <w:tcW w:w="1246" w:type="pct"/>
            <w:tcBorders>
              <w:top w:val="nil"/>
              <w:left w:val="nil"/>
              <w:bottom w:val="single" w:sz="4" w:space="0" w:color="auto"/>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sz w:val="24"/>
              </w:rPr>
              <w:t>Up to 25μL</w:t>
            </w:r>
          </w:p>
        </w:tc>
        <w:tc>
          <w:tcPr>
            <w:tcW w:w="1247" w:type="pct"/>
            <w:tcBorders>
              <w:top w:val="nil"/>
              <w:left w:val="nil"/>
              <w:bottom w:val="single" w:sz="4" w:space="0" w:color="auto"/>
              <w:right w:val="nil"/>
            </w:tcBorders>
            <w:shd w:val="clear" w:color="auto" w:fill="auto"/>
            <w:vAlign w:val="center"/>
          </w:tcPr>
          <w:p w:rsidR="00D97E3E" w:rsidRDefault="0009369E">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bl>
    <w:p w:rsidR="00D97E3E" w:rsidRDefault="0009369E">
      <w:pPr>
        <w:widowControl/>
        <w:autoSpaceDE w:val="0"/>
        <w:spacing w:line="360" w:lineRule="exact"/>
        <w:jc w:val="left"/>
        <w:rPr>
          <w:rFonts w:ascii="Times New Roman" w:hAnsi="Times New Roman" w:cs="Times New Roman"/>
          <w:spacing w:val="-2"/>
          <w:szCs w:val="21"/>
        </w:rPr>
      </w:pPr>
      <w:r>
        <w:rPr>
          <w:rFonts w:ascii="Times New Roman" w:hAnsi="Times New Roman" w:cs="Times New Roman"/>
          <w:spacing w:val="-2"/>
          <w:szCs w:val="21"/>
        </w:rPr>
        <w:t>注：各组分用量可根据实际需求进行调整，</w:t>
      </w:r>
      <w:r>
        <w:rPr>
          <w:rFonts w:ascii="Times New Roman" w:hAnsi="Times New Roman" w:cs="Times New Roman"/>
          <w:spacing w:val="-2"/>
          <w:szCs w:val="21"/>
        </w:rPr>
        <w:t>ROX Reference Dye</w:t>
      </w:r>
      <w:r>
        <w:rPr>
          <w:rFonts w:ascii="Times New Roman" w:hAnsi="Times New Roman" w:cs="Times New Roman"/>
          <w:spacing w:val="-2"/>
          <w:szCs w:val="21"/>
        </w:rPr>
        <w:t>需要用户根据实际使用的机型选择是否添加。</w:t>
      </w:r>
    </w:p>
    <w:p w:rsidR="00D97E3E" w:rsidRDefault="0009369E">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通常情况下，可以采用两步法进行反应；如果两步法扩增不理想，可以采用三步法设置</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反应程序。</w:t>
      </w:r>
    </w:p>
    <w:tbl>
      <w:tblPr>
        <w:tblStyle w:val="a6"/>
        <w:tblW w:w="0" w:type="auto"/>
        <w:tblLook w:val="04A0" w:firstRow="1" w:lastRow="0" w:firstColumn="1" w:lastColumn="0" w:noHBand="0" w:noVBand="1"/>
      </w:tblPr>
      <w:tblGrid>
        <w:gridCol w:w="2489"/>
        <w:gridCol w:w="2933"/>
        <w:gridCol w:w="2934"/>
        <w:gridCol w:w="1603"/>
      </w:tblGrid>
      <w:tr w:rsidR="00D97E3E">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方法</w:t>
            </w:r>
            <w:r>
              <w:rPr>
                <w:rFonts w:ascii="Times New Roman" w:hAnsi="Times New Roman" w:cs="Times New Roman"/>
                <w:bCs/>
                <w:sz w:val="24"/>
              </w:rPr>
              <w:t>/</w:t>
            </w:r>
            <w:r>
              <w:rPr>
                <w:rFonts w:ascii="Times New Roman" w:hAnsi="Times New Roman" w:cs="Times New Roman"/>
                <w:bCs/>
                <w:sz w:val="24"/>
              </w:rPr>
              <w:t>步骤</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两步法</w:t>
            </w:r>
            <w:r>
              <w:rPr>
                <w:rFonts w:ascii="Times New Roman" w:hAnsi="Times New Roman" w:cs="Times New Roman"/>
                <w:bCs/>
                <w:sz w:val="24"/>
              </w:rPr>
              <w:t>real-time PCR</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三步法</w:t>
            </w:r>
            <w:r>
              <w:rPr>
                <w:rFonts w:ascii="Times New Roman" w:hAnsi="Times New Roman" w:cs="Times New Roman"/>
                <w:bCs/>
                <w:sz w:val="24"/>
              </w:rPr>
              <w:t>real-time PCR</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循环数</w:t>
            </w:r>
          </w:p>
        </w:tc>
      </w:tr>
      <w:tr w:rsidR="00D97E3E">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（预变性）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1</w:t>
            </w:r>
          </w:p>
        </w:tc>
      </w:tr>
      <w:tr w:rsidR="00D97E3E">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35-45Cycles</w:t>
            </w:r>
          </w:p>
        </w:tc>
      </w:tr>
      <w:tr w:rsidR="00D97E3E">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55℃-65℃</w:t>
            </w:r>
            <w:r>
              <w:rPr>
                <w:rFonts w:ascii="Times New Roman" w:hAnsi="Times New Roman" w:cs="Times New Roman"/>
                <w:bCs/>
                <w:sz w:val="24"/>
              </w:rPr>
              <w:t>（退火）</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D97E3E">
            <w:pPr>
              <w:widowControl/>
              <w:spacing w:line="400" w:lineRule="exact"/>
              <w:jc w:val="center"/>
              <w:rPr>
                <w:rFonts w:ascii="Times New Roman" w:hAnsi="Times New Roman" w:cs="Times New Roman"/>
                <w:bCs/>
                <w:sz w:val="24"/>
              </w:rPr>
            </w:pPr>
          </w:p>
        </w:tc>
      </w:tr>
      <w:tr w:rsidR="00D97E3E">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72℃</w:t>
            </w:r>
            <w:r>
              <w:rPr>
                <w:rFonts w:ascii="Times New Roman" w:hAnsi="Times New Roman" w:cs="Times New Roman"/>
                <w:bCs/>
                <w:sz w:val="24"/>
              </w:rPr>
              <w:t>（延伸）</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D97E3E">
            <w:pPr>
              <w:widowControl/>
              <w:spacing w:line="400" w:lineRule="exact"/>
              <w:jc w:val="center"/>
              <w:rPr>
                <w:rFonts w:ascii="Times New Roman" w:hAnsi="Times New Roman" w:cs="Times New Roman"/>
                <w:bCs/>
                <w:sz w:val="24"/>
              </w:rPr>
            </w:pPr>
          </w:p>
        </w:tc>
      </w:tr>
      <w:tr w:rsidR="00D97E3E">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eastAsia="宋体" w:hAnsi="宋体" w:cs="宋体"/>
                <w:bCs/>
                <w:sz w:val="24"/>
              </w:rPr>
            </w:pPr>
            <w:r>
              <w:rPr>
                <w:rFonts w:hAnsi="宋体" w:cs="宋体" w:hint="eastAsia"/>
                <w:bCs/>
                <w:sz w:val="24"/>
              </w:rPr>
              <w:t>熔解曲线</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hAnsi="宋体" w:cs="宋体"/>
                <w:bCs/>
                <w:sz w:val="24"/>
              </w:rPr>
            </w:pPr>
            <w:r>
              <w:rPr>
                <w:rFonts w:hAnsi="宋体" w:cs="宋体" w:hint="eastAsia"/>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hAnsi="宋体" w:cs="宋体"/>
                <w:bCs/>
                <w:sz w:val="24"/>
              </w:rPr>
            </w:pPr>
            <w:r>
              <w:rPr>
                <w:rFonts w:hAnsi="宋体" w:cs="宋体" w:hint="eastAsia"/>
                <w:bCs/>
                <w:sz w:val="24"/>
              </w:rPr>
              <w:t>—</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D97E3E" w:rsidRDefault="0009369E">
            <w:pPr>
              <w:widowControl/>
              <w:spacing w:line="400" w:lineRule="exact"/>
              <w:jc w:val="center"/>
              <w:rPr>
                <w:rFonts w:eastAsia="宋体" w:hAnsi="宋体" w:cs="宋体"/>
                <w:bCs/>
                <w:sz w:val="24"/>
              </w:rPr>
            </w:pPr>
            <w:r>
              <w:rPr>
                <w:rFonts w:hAnsi="宋体" w:cs="宋体" w:hint="eastAsia"/>
                <w:bCs/>
                <w:sz w:val="24"/>
              </w:rPr>
              <w:t>—</w:t>
            </w:r>
          </w:p>
        </w:tc>
      </w:tr>
    </w:tbl>
    <w:p w:rsidR="00D97E3E" w:rsidRDefault="0009369E">
      <w:pPr>
        <w:widowControl/>
        <w:autoSpaceDE w:val="0"/>
        <w:spacing w:line="360" w:lineRule="exact"/>
        <w:jc w:val="left"/>
        <w:rPr>
          <w:rFonts w:ascii="Times New Roman" w:eastAsia="宋体" w:hAnsi="Times New Roman" w:cs="Times New Roman"/>
          <w:kern w:val="0"/>
          <w:sz w:val="24"/>
          <w:lang w:bidi="ar"/>
        </w:rPr>
      </w:pPr>
      <w:r>
        <w:rPr>
          <w:rFonts w:ascii="Times New Roman" w:hAnsi="Times New Roman" w:cs="Times New Roman"/>
          <w:spacing w:val="-2"/>
          <w:szCs w:val="21"/>
        </w:rPr>
        <w:t>注：反应条件可以根据实际需求进行适当调整和优化</w:t>
      </w:r>
      <w:r>
        <w:rPr>
          <w:rFonts w:ascii="Times New Roman" w:hAnsi="Times New Roman" w:cs="Times New Roman" w:hint="eastAsia"/>
          <w:spacing w:val="-2"/>
          <w:szCs w:val="21"/>
        </w:rPr>
        <w:t>，熔解曲线程序根据所使用的扩增</w:t>
      </w:r>
      <w:proofErr w:type="gramStart"/>
      <w:r>
        <w:rPr>
          <w:rFonts w:ascii="Times New Roman" w:hAnsi="Times New Roman" w:cs="Times New Roman" w:hint="eastAsia"/>
          <w:spacing w:val="-2"/>
          <w:szCs w:val="21"/>
        </w:rPr>
        <w:t>仪程序</w:t>
      </w:r>
      <w:proofErr w:type="gramEnd"/>
      <w:r>
        <w:rPr>
          <w:rFonts w:ascii="Times New Roman" w:hAnsi="Times New Roman" w:cs="Times New Roman" w:hint="eastAsia"/>
          <w:spacing w:val="-2"/>
          <w:szCs w:val="21"/>
        </w:rPr>
        <w:t>进行适配选择</w:t>
      </w:r>
      <w:r>
        <w:rPr>
          <w:rFonts w:ascii="Times New Roman" w:hAnsi="Times New Roman" w:cs="Times New Roman"/>
          <w:spacing w:val="-2"/>
          <w:szCs w:val="21"/>
        </w:rPr>
        <w:t>。</w:t>
      </w:r>
    </w:p>
    <w:p w:rsidR="00D97E3E" w:rsidRDefault="0009369E">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反应结束后，对扩增曲线及熔解曲线结果进行分析。详细分析方法参见</w:t>
      </w:r>
      <w:r>
        <w:rPr>
          <w:rFonts w:ascii="Times New Roman" w:eastAsia="宋体" w:hAnsi="Times New Roman" w:cs="Times New Roman"/>
          <w:kern w:val="0"/>
          <w:sz w:val="24"/>
          <w:lang w:bidi="ar"/>
        </w:rPr>
        <w:t>Real Time PCR</w:t>
      </w:r>
      <w:r>
        <w:rPr>
          <w:rFonts w:ascii="Times New Roman" w:eastAsia="宋体" w:hAnsi="Times New Roman" w:cs="Times New Roman"/>
          <w:kern w:val="0"/>
          <w:sz w:val="24"/>
          <w:lang w:bidi="ar"/>
        </w:rPr>
        <w:t>扩增</w:t>
      </w:r>
      <w:proofErr w:type="gramStart"/>
      <w:r>
        <w:rPr>
          <w:rFonts w:ascii="Times New Roman" w:eastAsia="宋体" w:hAnsi="Times New Roman" w:cs="Times New Roman"/>
          <w:kern w:val="0"/>
          <w:sz w:val="24"/>
          <w:lang w:bidi="ar"/>
        </w:rPr>
        <w:t>仪操作</w:t>
      </w:r>
      <w:proofErr w:type="gramEnd"/>
      <w:r>
        <w:rPr>
          <w:rFonts w:ascii="Times New Roman" w:eastAsia="宋体" w:hAnsi="Times New Roman" w:cs="Times New Roman"/>
          <w:kern w:val="0"/>
          <w:sz w:val="24"/>
          <w:lang w:bidi="ar"/>
        </w:rPr>
        <w:t>手册。</w:t>
      </w:r>
      <w:r>
        <w:rPr>
          <w:rFonts w:ascii="Times New Roman" w:eastAsia="宋体" w:hAnsi="Times New Roman" w:cs="Times New Roman"/>
          <w:kern w:val="0"/>
          <w:sz w:val="24"/>
          <w:lang w:bidi="ar"/>
        </w:rPr>
        <w:t xml:space="preserve"> </w:t>
      </w:r>
    </w:p>
    <w:p w:rsidR="00D97E3E" w:rsidRDefault="0009369E">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注意事项：</w:t>
      </w:r>
    </w:p>
    <w:p w:rsidR="00D97E3E" w:rsidRDefault="0009369E">
      <w:pPr>
        <w:widowControl/>
        <w:numPr>
          <w:ilvl w:val="0"/>
          <w:numId w:val="2"/>
        </w:numPr>
        <w:autoSpaceDE w:val="0"/>
        <w:spacing w:line="400" w:lineRule="exact"/>
        <w:ind w:firstLineChars="200" w:firstLine="480"/>
        <w:rPr>
          <w:rFonts w:ascii="Times New Roman" w:eastAsia="宋体" w:hAnsi="Times New Roman" w:cs="Times New Roman"/>
          <w:bCs/>
          <w:sz w:val="24"/>
        </w:rPr>
      </w:pPr>
      <w:r>
        <w:rPr>
          <w:rFonts w:ascii="Times New Roman" w:eastAsia="宋体" w:hAnsi="Times New Roman" w:cs="Times New Roman"/>
          <w:kern w:val="0"/>
          <w:sz w:val="24"/>
          <w:lang w:bidi="ar"/>
        </w:rPr>
        <w:t>请根据引物选择合适的退火（延伸）温度，通常引物的</w:t>
      </w:r>
      <w:r>
        <w:rPr>
          <w:rFonts w:ascii="Times New Roman" w:eastAsia="宋体" w:hAnsi="Times New Roman" w:cs="Times New Roman"/>
          <w:kern w:val="0"/>
          <w:sz w:val="24"/>
          <w:lang w:bidi="ar"/>
        </w:rPr>
        <w:t>T</w:t>
      </w:r>
      <w:r>
        <w:rPr>
          <w:rFonts w:ascii="Times New Roman" w:eastAsia="宋体" w:hAnsi="Times New Roman" w:cs="Times New Roman" w:hint="eastAsia"/>
          <w:kern w:val="0"/>
          <w:sz w:val="24"/>
          <w:lang w:bidi="ar"/>
        </w:rPr>
        <w:t>m</w:t>
      </w:r>
      <w:proofErr w:type="gramStart"/>
      <w:r>
        <w:rPr>
          <w:rFonts w:ascii="Times New Roman" w:eastAsia="宋体" w:hAnsi="Times New Roman" w:cs="Times New Roman"/>
          <w:kern w:val="0"/>
          <w:sz w:val="24"/>
          <w:lang w:bidi="ar"/>
        </w:rPr>
        <w:t>值设计</w:t>
      </w:r>
      <w:proofErr w:type="gramEnd"/>
      <w:r>
        <w:rPr>
          <w:rFonts w:ascii="Times New Roman" w:eastAsia="宋体" w:hAnsi="Times New Roman" w:cs="Times New Roman"/>
          <w:kern w:val="0"/>
          <w:sz w:val="24"/>
          <w:lang w:bidi="ar"/>
        </w:rPr>
        <w:t>在</w:t>
      </w:r>
      <w:r>
        <w:rPr>
          <w:rFonts w:ascii="Times New Roman" w:eastAsia="宋体" w:hAnsi="Times New Roman" w:cs="Times New Roman"/>
          <w:kern w:val="0"/>
          <w:sz w:val="24"/>
          <w:lang w:bidi="ar"/>
        </w:rPr>
        <w:t>60℃</w:t>
      </w:r>
      <w:r>
        <w:rPr>
          <w:rFonts w:ascii="Times New Roman" w:eastAsia="宋体" w:hAnsi="Times New Roman" w:cs="Times New Roman"/>
          <w:kern w:val="0"/>
          <w:sz w:val="24"/>
          <w:lang w:bidi="ar"/>
        </w:rPr>
        <w:t>左右；</w:t>
      </w:r>
      <w:r>
        <w:rPr>
          <w:rFonts w:ascii="Times New Roman" w:eastAsia="宋体" w:hAnsi="Times New Roman" w:cs="Times New Roman"/>
          <w:bCs/>
          <w:kern w:val="0"/>
          <w:sz w:val="24"/>
          <w:lang w:bidi="ar"/>
        </w:rPr>
        <w:t>对于退火温度较低的引物，建议采用三步法；使用的引物终浓度可在</w:t>
      </w:r>
      <w:r>
        <w:rPr>
          <w:rFonts w:ascii="Times New Roman" w:eastAsia="宋体" w:hAnsi="Times New Roman" w:cs="Times New Roman"/>
          <w:bCs/>
          <w:kern w:val="0"/>
          <w:sz w:val="24"/>
          <w:lang w:bidi="ar"/>
        </w:rPr>
        <w:t>0.2</w:t>
      </w:r>
      <w:r>
        <w:rPr>
          <w:rFonts w:ascii="Times New Roman" w:eastAsia="宋体" w:hAnsi="Times New Roman" w:cs="Times New Roman" w:hint="eastAsia"/>
          <w:bCs/>
          <w:kern w:val="0"/>
          <w:sz w:val="24"/>
          <w:lang w:bidi="ar"/>
        </w:rPr>
        <w:t>-</w:t>
      </w:r>
      <w:r>
        <w:rPr>
          <w:rFonts w:ascii="Times New Roman" w:eastAsia="宋体" w:hAnsi="Times New Roman" w:cs="Times New Roman"/>
          <w:bCs/>
          <w:kern w:val="0"/>
          <w:sz w:val="24"/>
          <w:lang w:bidi="ar"/>
        </w:rPr>
        <w:t>1.0</w:t>
      </w:r>
      <w:r>
        <w:rPr>
          <w:rFonts w:ascii="Times New Roman" w:eastAsia="宋体" w:hAnsi="Times New Roman" w:cs="Times New Roman"/>
          <w:kern w:val="0"/>
          <w:sz w:val="24"/>
          <w:lang w:bidi="ar"/>
        </w:rPr>
        <w:t>μ</w:t>
      </w:r>
      <w:r>
        <w:rPr>
          <w:rFonts w:ascii="Times New Roman" w:eastAsia="宋体" w:hAnsi="Times New Roman" w:cs="Times New Roman"/>
          <w:bCs/>
          <w:kern w:val="0"/>
          <w:sz w:val="24"/>
          <w:lang w:bidi="ar"/>
        </w:rPr>
        <w:t>M</w:t>
      </w:r>
      <w:r>
        <w:rPr>
          <w:rFonts w:ascii="Times New Roman" w:eastAsia="宋体" w:hAnsi="Times New Roman" w:cs="Times New Roman"/>
          <w:bCs/>
          <w:kern w:val="0"/>
          <w:sz w:val="24"/>
          <w:lang w:bidi="ar"/>
        </w:rPr>
        <w:t>范围内调整；</w:t>
      </w:r>
      <w:r>
        <w:rPr>
          <w:rFonts w:ascii="Times New Roman" w:eastAsia="宋体" w:hAnsi="Times New Roman" w:cs="Times New Roman"/>
          <w:bCs/>
          <w:kern w:val="0"/>
          <w:sz w:val="24"/>
          <w:lang w:bidi="ar"/>
        </w:rPr>
        <w:t>DNA</w:t>
      </w:r>
      <w:r>
        <w:rPr>
          <w:rFonts w:ascii="Times New Roman" w:eastAsia="宋体" w:hAnsi="Times New Roman" w:cs="Times New Roman"/>
          <w:bCs/>
          <w:kern w:val="0"/>
          <w:sz w:val="24"/>
          <w:lang w:bidi="ar"/>
        </w:rPr>
        <w:t>模板可根据浓度进行适当调整。</w:t>
      </w:r>
      <w:r>
        <w:rPr>
          <w:rFonts w:ascii="Times New Roman" w:eastAsia="宋体" w:hAnsi="Times New Roman" w:cs="Times New Roman"/>
          <w:bCs/>
          <w:kern w:val="0"/>
          <w:sz w:val="24"/>
          <w:lang w:bidi="ar"/>
        </w:rPr>
        <w:t xml:space="preserve"> </w:t>
      </w:r>
    </w:p>
    <w:p w:rsidR="00D97E3E" w:rsidRDefault="0009369E">
      <w:pPr>
        <w:widowControl/>
        <w:numPr>
          <w:ilvl w:val="0"/>
          <w:numId w:val="2"/>
        </w:numPr>
        <w:autoSpaceDE w:val="0"/>
        <w:spacing w:line="400" w:lineRule="exact"/>
        <w:ind w:firstLineChars="200" w:firstLine="480"/>
        <w:rPr>
          <w:rFonts w:ascii="Times New Roman" w:eastAsia="宋体" w:hAnsi="Times New Roman" w:cs="Times New Roman"/>
          <w:kern w:val="0"/>
          <w:sz w:val="24"/>
          <w:lang w:bidi="ar"/>
        </w:rPr>
      </w:pPr>
      <w:r>
        <w:rPr>
          <w:rFonts w:ascii="Times New Roman" w:eastAsia="宋体" w:hAnsi="Times New Roman" w:cs="Times New Roman"/>
          <w:kern w:val="0"/>
          <w:sz w:val="24"/>
          <w:lang w:bidi="ar"/>
        </w:rPr>
        <w:t xml:space="preserve">SYBR Green </w:t>
      </w:r>
      <w:r>
        <w:rPr>
          <w:rFonts w:ascii="Times New Roman" w:eastAsia="宋体" w:hAnsi="Times New Roman" w:cs="Times New Roman"/>
          <w:kern w:val="0"/>
          <w:sz w:val="24"/>
          <w:lang w:bidi="ar"/>
        </w:rPr>
        <w:t>I</w:t>
      </w:r>
      <w:r>
        <w:rPr>
          <w:rFonts w:ascii="Times New Roman" w:eastAsia="宋体" w:hAnsi="Times New Roman" w:cs="Times New Roman"/>
          <w:kern w:val="0"/>
          <w:sz w:val="24"/>
          <w:lang w:bidi="ar"/>
        </w:rPr>
        <w:t>染料是非特异性染料，可与双链</w:t>
      </w:r>
      <w:r>
        <w:rPr>
          <w:rFonts w:ascii="Times New Roman" w:eastAsia="宋体" w:hAnsi="Times New Roman" w:cs="Times New Roman"/>
          <w:kern w:val="0"/>
          <w:sz w:val="24"/>
          <w:lang w:bidi="ar"/>
        </w:rPr>
        <w:t>DNA</w:t>
      </w:r>
      <w:r>
        <w:rPr>
          <w:rFonts w:ascii="Times New Roman" w:eastAsia="宋体" w:hAnsi="Times New Roman" w:cs="Times New Roman"/>
          <w:kern w:val="0"/>
          <w:sz w:val="24"/>
          <w:lang w:bidi="ar"/>
        </w:rPr>
        <w:t>（</w:t>
      </w:r>
      <w:r>
        <w:rPr>
          <w:rFonts w:ascii="Times New Roman" w:eastAsia="宋体" w:hAnsi="Times New Roman" w:cs="Times New Roman"/>
          <w:kern w:val="0"/>
          <w:sz w:val="24"/>
          <w:lang w:bidi="ar"/>
        </w:rPr>
        <w:t>dsDNA</w:t>
      </w:r>
      <w:r>
        <w:rPr>
          <w:rFonts w:ascii="Times New Roman" w:eastAsia="宋体" w:hAnsi="Times New Roman" w:cs="Times New Roman"/>
          <w:kern w:val="0"/>
          <w:sz w:val="24"/>
          <w:lang w:bidi="ar"/>
        </w:rPr>
        <w:t>）结合后发出荧光，同时其强光下易分解，因此在设计引物时需要尽量避免引物二聚体的产生，使用时避免长时间强光照射，以提高检测结果准确性、灵敏度及特异性。</w:t>
      </w:r>
    </w:p>
    <w:p w:rsidR="00D97E3E" w:rsidRDefault="0009369E">
      <w:pPr>
        <w:widowControl/>
        <w:numPr>
          <w:ilvl w:val="0"/>
          <w:numId w:val="2"/>
        </w:numPr>
        <w:autoSpaceDE w:val="0"/>
        <w:spacing w:line="400" w:lineRule="exact"/>
        <w:ind w:firstLineChars="200" w:firstLine="480"/>
        <w:rPr>
          <w:rFonts w:ascii="Times New Roman" w:eastAsia="宋体" w:hAnsi="Times New Roman" w:cs="Times New Roman"/>
          <w:kern w:val="0"/>
          <w:sz w:val="24"/>
          <w:lang w:bidi="ar"/>
        </w:rPr>
      </w:pPr>
      <w:r>
        <w:rPr>
          <w:rFonts w:ascii="Times New Roman" w:eastAsia="宋体" w:hAnsi="Times New Roman" w:cs="Times New Roman"/>
          <w:kern w:val="0"/>
          <w:sz w:val="24"/>
          <w:lang w:bidi="ar"/>
        </w:rPr>
        <w:t>提高镁离子浓度可以降低</w:t>
      </w:r>
      <w:r>
        <w:rPr>
          <w:rFonts w:ascii="Times New Roman" w:eastAsia="宋体" w:hAnsi="Times New Roman" w:cs="Times New Roman"/>
          <w:kern w:val="0"/>
          <w:sz w:val="24"/>
          <w:lang w:bidi="ar"/>
        </w:rPr>
        <w:t>SYBR Green I</w:t>
      </w:r>
      <w:r>
        <w:rPr>
          <w:rFonts w:ascii="Times New Roman" w:eastAsia="宋体" w:hAnsi="Times New Roman" w:cs="Times New Roman"/>
          <w:kern w:val="0"/>
          <w:sz w:val="24"/>
          <w:lang w:bidi="ar"/>
        </w:rPr>
        <w:t>对</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反应的抑制作用，建议在使用本产品进行荧光</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反应优化时，可适当增加镁离子浓度（比普通</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反应高出</w:t>
      </w:r>
      <w:r>
        <w:rPr>
          <w:rFonts w:ascii="Times New Roman" w:eastAsia="宋体" w:hAnsi="Times New Roman" w:cs="Times New Roman"/>
          <w:kern w:val="0"/>
          <w:sz w:val="24"/>
          <w:lang w:bidi="ar"/>
        </w:rPr>
        <w:t>0.5-3.0mM</w:t>
      </w:r>
      <w:r>
        <w:rPr>
          <w:rFonts w:ascii="Times New Roman" w:eastAsia="宋体" w:hAnsi="Times New Roman" w:cs="Times New Roman"/>
          <w:kern w:val="0"/>
          <w:sz w:val="24"/>
          <w:lang w:bidi="ar"/>
        </w:rPr>
        <w:t>）。</w:t>
      </w:r>
    </w:p>
    <w:p w:rsidR="00D97E3E" w:rsidRDefault="0009369E">
      <w:pPr>
        <w:widowControl/>
        <w:numPr>
          <w:ilvl w:val="0"/>
          <w:numId w:val="2"/>
        </w:numPr>
        <w:autoSpaceDE w:val="0"/>
        <w:spacing w:line="400" w:lineRule="exact"/>
        <w:ind w:firstLineChars="200" w:firstLine="480"/>
        <w:rPr>
          <w:rFonts w:ascii="Times New Roman" w:hAnsi="Times New Roman" w:cs="Times New Roman"/>
        </w:rPr>
      </w:pPr>
      <w:r>
        <w:rPr>
          <w:rFonts w:ascii="Times New Roman" w:eastAsia="宋体" w:hAnsi="Times New Roman" w:cs="Times New Roman"/>
          <w:kern w:val="0"/>
          <w:sz w:val="24"/>
          <w:lang w:bidi="ar"/>
        </w:rPr>
        <w:t>扩增前后要使用专用的区域和</w:t>
      </w:r>
      <w:proofErr w:type="gramStart"/>
      <w:r>
        <w:rPr>
          <w:rFonts w:ascii="Times New Roman" w:eastAsia="宋体" w:hAnsi="Times New Roman" w:cs="Times New Roman"/>
          <w:kern w:val="0"/>
          <w:sz w:val="24"/>
          <w:lang w:bidi="ar"/>
        </w:rPr>
        <w:t>移液</w:t>
      </w:r>
      <w:proofErr w:type="gramEnd"/>
      <w:r>
        <w:rPr>
          <w:rFonts w:ascii="Times New Roman" w:eastAsia="宋体" w:hAnsi="Times New Roman" w:cs="Times New Roman"/>
          <w:kern w:val="0"/>
          <w:sz w:val="24"/>
          <w:lang w:bidi="ar"/>
        </w:rPr>
        <w:t>器，戴手套操作并经常更换，</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反应完成后切勿打开反应管。以最大限度的减少</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产物对检测环境的污染。</w:t>
      </w:r>
    </w:p>
    <w:sectPr w:rsidR="00D97E3E">
      <w:headerReference w:type="default" r:id="rId8"/>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69E" w:rsidRDefault="0009369E">
      <w:r>
        <w:separator/>
      </w:r>
    </w:p>
  </w:endnote>
  <w:endnote w:type="continuationSeparator" w:id="0">
    <w:p w:rsidR="0009369E" w:rsidRDefault="0009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9E" w:rsidRDefault="0009369E">
      <w:r>
        <w:separator/>
      </w:r>
    </w:p>
  </w:footnote>
  <w:footnote w:type="continuationSeparator" w:id="0">
    <w:p w:rsidR="0009369E" w:rsidRDefault="00093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3E" w:rsidRDefault="0009369E">
    <w:pPr>
      <w:pStyle w:val="a5"/>
    </w:pPr>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B424F"/>
    <w:multiLevelType w:val="singleLevel"/>
    <w:tmpl w:val="E25B424F"/>
    <w:lvl w:ilvl="0">
      <w:start w:val="1"/>
      <w:numFmt w:val="decimal"/>
      <w:suff w:val="space"/>
      <w:lvlText w:val="%1."/>
      <w:lvlJc w:val="left"/>
    </w:lvl>
  </w:abstractNum>
  <w:abstractNum w:abstractNumId="1">
    <w:nsid w:val="446C64CC"/>
    <w:multiLevelType w:val="singleLevel"/>
    <w:tmpl w:val="446C64CC"/>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D97E3E"/>
    <w:rsid w:val="0009369E"/>
    <w:rsid w:val="000A71EE"/>
    <w:rsid w:val="00A8270A"/>
    <w:rsid w:val="00D97E3E"/>
    <w:rsid w:val="012074A4"/>
    <w:rsid w:val="01730D53"/>
    <w:rsid w:val="0239547A"/>
    <w:rsid w:val="03372B16"/>
    <w:rsid w:val="04674A3A"/>
    <w:rsid w:val="05410FC1"/>
    <w:rsid w:val="071B4C37"/>
    <w:rsid w:val="07DB47E0"/>
    <w:rsid w:val="091B4E56"/>
    <w:rsid w:val="09B46D46"/>
    <w:rsid w:val="09FB2368"/>
    <w:rsid w:val="0C525237"/>
    <w:rsid w:val="0CA56122"/>
    <w:rsid w:val="0CA8167A"/>
    <w:rsid w:val="0CB50662"/>
    <w:rsid w:val="0CD17F9E"/>
    <w:rsid w:val="0D0A07E4"/>
    <w:rsid w:val="0D0E70DF"/>
    <w:rsid w:val="0D5F45D9"/>
    <w:rsid w:val="0E2E0248"/>
    <w:rsid w:val="0F8A7463"/>
    <w:rsid w:val="105B0C8D"/>
    <w:rsid w:val="10AF663F"/>
    <w:rsid w:val="10E72496"/>
    <w:rsid w:val="125123E7"/>
    <w:rsid w:val="13884819"/>
    <w:rsid w:val="138B2994"/>
    <w:rsid w:val="13EE3B54"/>
    <w:rsid w:val="162F2FEE"/>
    <w:rsid w:val="16B05F19"/>
    <w:rsid w:val="19AC71F3"/>
    <w:rsid w:val="1A044257"/>
    <w:rsid w:val="1A374A56"/>
    <w:rsid w:val="1AB04381"/>
    <w:rsid w:val="1C5A43C0"/>
    <w:rsid w:val="1F320CD8"/>
    <w:rsid w:val="1FF63B2C"/>
    <w:rsid w:val="202478AD"/>
    <w:rsid w:val="21510342"/>
    <w:rsid w:val="21A00317"/>
    <w:rsid w:val="22556D6A"/>
    <w:rsid w:val="22C80BE6"/>
    <w:rsid w:val="23064346"/>
    <w:rsid w:val="2771308E"/>
    <w:rsid w:val="285B6C5C"/>
    <w:rsid w:val="29460347"/>
    <w:rsid w:val="29CA60A8"/>
    <w:rsid w:val="2BFE3231"/>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AC4683"/>
    <w:rsid w:val="3FD71FD3"/>
    <w:rsid w:val="3FDD2148"/>
    <w:rsid w:val="40787B48"/>
    <w:rsid w:val="408B354F"/>
    <w:rsid w:val="438F528D"/>
    <w:rsid w:val="448B4882"/>
    <w:rsid w:val="49F80122"/>
    <w:rsid w:val="4B4711F0"/>
    <w:rsid w:val="4B485BA6"/>
    <w:rsid w:val="4DA0397A"/>
    <w:rsid w:val="4EB45736"/>
    <w:rsid w:val="4EDD569B"/>
    <w:rsid w:val="4EDD5EE3"/>
    <w:rsid w:val="4F150182"/>
    <w:rsid w:val="4FA77519"/>
    <w:rsid w:val="4FCA6DC6"/>
    <w:rsid w:val="519D1BB8"/>
    <w:rsid w:val="51DD405E"/>
    <w:rsid w:val="53277CA7"/>
    <w:rsid w:val="542B4307"/>
    <w:rsid w:val="54710F99"/>
    <w:rsid w:val="54B94DA4"/>
    <w:rsid w:val="55F84612"/>
    <w:rsid w:val="57034A09"/>
    <w:rsid w:val="58D32749"/>
    <w:rsid w:val="5AC86291"/>
    <w:rsid w:val="5B783B11"/>
    <w:rsid w:val="5D7C065F"/>
    <w:rsid w:val="5D8114B1"/>
    <w:rsid w:val="5EB46D84"/>
    <w:rsid w:val="5ECA0EDF"/>
    <w:rsid w:val="604663A9"/>
    <w:rsid w:val="61071063"/>
    <w:rsid w:val="61B943D3"/>
    <w:rsid w:val="635973E4"/>
    <w:rsid w:val="65605ABA"/>
    <w:rsid w:val="65765ACE"/>
    <w:rsid w:val="66AE3D8B"/>
    <w:rsid w:val="67E8720F"/>
    <w:rsid w:val="68283A50"/>
    <w:rsid w:val="68EE777B"/>
    <w:rsid w:val="6918002D"/>
    <w:rsid w:val="6DB723DB"/>
    <w:rsid w:val="6E6D05A9"/>
    <w:rsid w:val="6EF566F9"/>
    <w:rsid w:val="6F3D4C92"/>
    <w:rsid w:val="708446DD"/>
    <w:rsid w:val="71FD3196"/>
    <w:rsid w:val="72924FE4"/>
    <w:rsid w:val="7521355C"/>
    <w:rsid w:val="7B4E45C4"/>
    <w:rsid w:val="7BCF7EF3"/>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EC2AA3A7562B441D905E67D357C1B1BC</vt:lpwstr>
  </property>
</Properties>
</file>