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FA44CD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FA44CD" w:rsidRDefault="00C72891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FA44CD" w:rsidRDefault="00C72891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NotI</w:t>
      </w:r>
      <w:proofErr w:type="spellEnd"/>
    </w:p>
    <w:p w:rsidR="00FA44CD" w:rsidRDefault="00C72891" w:rsidP="00D30A85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27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FA44CD" w:rsidRDefault="00C7289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FA44CD" w:rsidRDefault="00C72891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6985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5'...GCGGCCGC...3'</w:t>
      </w:r>
    </w:p>
    <w:p w:rsidR="00FA44CD" w:rsidRDefault="00C72891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123190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3'...CGCCGGCG...5'</w:t>
      </w:r>
    </w:p>
    <w:p w:rsidR="00FA44CD" w:rsidRDefault="00C72891" w:rsidP="00D30A85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CciNI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FA44CD" w:rsidRDefault="00C72891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bookmarkStart w:id="0" w:name="_GoBack"/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bookmarkEnd w:id="0"/>
    <w:p w:rsidR="00FA44CD" w:rsidRDefault="00C7289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FA44CD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FA44CD" w:rsidRDefault="00C7289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EZ22027S-0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FA44CD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NotI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FA44CD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FA44CD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FA44CD" w:rsidRDefault="00C7289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FA44CD" w:rsidRDefault="00C7289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FA44CD" w:rsidRDefault="00C7289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FA44CD" w:rsidRDefault="00C72891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NotI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N85 DNA</w:t>
      </w:r>
      <w:r>
        <w:rPr>
          <w:rFonts w:ascii="Times New Roman" w:hAnsi="Times New Roman" w:cs="Times New Roman"/>
          <w:sz w:val="24"/>
        </w:rPr>
        <w:t>。</w:t>
      </w:r>
    </w:p>
    <w:p w:rsidR="00FA44CD" w:rsidRDefault="00C72891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NotI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N85 DNA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FA44CD" w:rsidRDefault="00C72891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NotI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FA44CD" w:rsidRDefault="00C72891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NotI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FA44CD" w:rsidRDefault="00C72891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NotI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FA44CD" w:rsidRDefault="00C72891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4CD" w:rsidRDefault="00C7289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FA44CD" w:rsidRDefault="00C7289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FA44CD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FA44CD" w:rsidRDefault="00FA44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FA44CD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FA44C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FA44C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(5μg)</w:t>
            </w:r>
          </w:p>
        </w:tc>
      </w:tr>
      <w:tr w:rsidR="00FA44C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FA44CD" w:rsidRDefault="00C7289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NotI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FA44CD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FA44CD" w:rsidRDefault="00C7289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FA44CD" w:rsidRDefault="00C7289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FA44CD" w:rsidRDefault="00C7289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FA44CD" w:rsidRDefault="00C7289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FA44CD" w:rsidRDefault="00C7289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FA44CD" w:rsidRDefault="00C7289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FA44CD" w:rsidRDefault="00C7289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FA44CD" w:rsidRDefault="00C7289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FA44CD" w:rsidRDefault="00C7289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FA44CD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FA44CD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FA44CD" w:rsidRDefault="00C7289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NotI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FA44CD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FA44CD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FA44CD" w:rsidRDefault="00C7289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FA44CD" w:rsidRDefault="00C7289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FA44CD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FA44CD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</w:tr>
    </w:tbl>
    <w:p w:rsidR="00FA44CD" w:rsidRDefault="00C7289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1789"/>
        <w:gridCol w:w="3082"/>
        <w:gridCol w:w="1637"/>
        <w:gridCol w:w="1639"/>
      </w:tblGrid>
      <w:tr w:rsidR="00FA44CD">
        <w:trPr>
          <w:trHeight w:val="334"/>
        </w:trPr>
        <w:tc>
          <w:tcPr>
            <w:tcW w:w="899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00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550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24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25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FA44CD">
        <w:trPr>
          <w:trHeight w:val="334"/>
        </w:trPr>
        <w:tc>
          <w:tcPr>
            <w:tcW w:w="899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00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50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序列可能重叠剪切受阻</w:t>
            </w:r>
          </w:p>
        </w:tc>
        <w:tc>
          <w:tcPr>
            <w:tcW w:w="824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25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FA44CD" w:rsidRDefault="00C7289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1557"/>
        <w:gridCol w:w="3040"/>
        <w:gridCol w:w="2182"/>
        <w:gridCol w:w="2240"/>
      </w:tblGrid>
      <w:tr w:rsidR="00FA44CD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FA44CD" w:rsidRDefault="00FA44C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FA44CD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FA44CD" w:rsidRDefault="00C728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FA44CD" w:rsidRDefault="00C7289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FA44CD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891" w:rsidRDefault="00C72891">
      <w:r>
        <w:separator/>
      </w:r>
    </w:p>
  </w:endnote>
  <w:endnote w:type="continuationSeparator" w:id="0">
    <w:p w:rsidR="00C72891" w:rsidRDefault="00C7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891" w:rsidRDefault="00C72891">
      <w:r>
        <w:separator/>
      </w:r>
    </w:p>
  </w:footnote>
  <w:footnote w:type="continuationSeparator" w:id="0">
    <w:p w:rsidR="00C72891" w:rsidRDefault="00C72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CD" w:rsidRDefault="00C72891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639D8DA" wp14:editId="24411444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FA44CD"/>
    <w:rsid w:val="000A71EE"/>
    <w:rsid w:val="00C72891"/>
    <w:rsid w:val="00D30A85"/>
    <w:rsid w:val="00FA44CD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732616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CC16E9D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58B0CDC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9B131CC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8C5A2791F2584606A037BE8CCFA56677</vt:lpwstr>
  </property>
</Properties>
</file>