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01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32"/>
                <w:lang w:val="en-US" w:eastAsia="zh-CN"/>
              </w:rPr>
              <w:t>使用前请仔细阅读说明书</w:t>
            </w:r>
            <w:bookmarkStart w:id="0" w:name="_GoBack"/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32"/>
                <w:lang w:val="en-US" w:eastAsia="zh-CN"/>
              </w:rPr>
              <w:t xml:space="preserve"> </w:t>
            </w:r>
            <w:bookmarkEnd w:id="0"/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32"/>
                <w:lang w:val="en-US" w:eastAsia="zh-CN"/>
              </w:rPr>
              <w:t xml:space="preserve">                                              版本号：202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32"/>
                <w:lang w:val="en-US" w:eastAsia="zh-CN"/>
              </w:rPr>
              <w:t>202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微软雅黑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color w:val="auto"/>
          <w:sz w:val="36"/>
          <w:szCs w:val="36"/>
        </w:rPr>
        <w:t>LightSpeed</w:t>
      </w:r>
      <w:r>
        <w:rPr>
          <w:rFonts w:hint="default" w:ascii="Times New Roman" w:hAnsi="Times New Roman" w:eastAsia="微软雅黑" w:cs="Times New Roman"/>
          <w:b/>
          <w:color w:val="auto"/>
          <w:sz w:val="30"/>
          <w:szCs w:val="30"/>
          <w:vertAlign w:val="superscript"/>
          <w:lang w:val="en-US" w:eastAsia="zh-CN"/>
        </w:rPr>
        <w:t>TM</w:t>
      </w:r>
      <w:r>
        <w:rPr>
          <w:rFonts w:hint="default" w:ascii="Times New Roman" w:hAnsi="Times New Roman" w:eastAsia="微软雅黑" w:cs="Times New Roman"/>
          <w:b/>
          <w:color w:val="auto"/>
          <w:sz w:val="36"/>
          <w:szCs w:val="36"/>
        </w:rPr>
        <w:t xml:space="preserve"> </w:t>
      </w:r>
      <w:r>
        <w:rPr>
          <w:rFonts w:hint="default" w:ascii="Times New Roman" w:hAnsi="Times New Roman" w:eastAsia="微软雅黑" w:cs="Times New Roman"/>
          <w:b/>
          <w:color w:val="auto"/>
          <w:sz w:val="36"/>
          <w:szCs w:val="36"/>
          <w:lang w:eastAsia="zh-CN"/>
        </w:rPr>
        <w:t>HpaI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货号</w:t>
      </w: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  <w:t>：</w:t>
      </w: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EZ220</w:t>
      </w:r>
      <w:r>
        <w:rPr>
          <w:rFonts w:hint="eastAsia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 xml:space="preserve">S         </w:t>
      </w:r>
      <w:r>
        <w:rPr>
          <w:rFonts w:hint="eastAsia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规格：</w:t>
      </w:r>
      <w:r>
        <w:rPr>
          <w:rFonts w:hint="eastAsia" w:ascii="Times New Roman" w:hAnsi="Times New Roman" w:eastAsia="微软雅黑" w:cs="Times New Roman"/>
          <w:b/>
          <w:bCs/>
          <w:color w:val="auto"/>
          <w:sz w:val="28"/>
          <w:szCs w:val="28"/>
          <w:lang w:val="en-US" w:eastAsia="zh-CN"/>
        </w:rPr>
        <w:t>50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28"/>
          <w:szCs w:val="28"/>
          <w:lang w:val="en-US" w:eastAsia="zh-CN"/>
        </w:rPr>
        <w:t>T</w:t>
      </w:r>
      <w:r>
        <w:rPr>
          <w:rFonts w:hint="eastAsia" w:ascii="Times New Roman" w:hAnsi="Times New Roman" w:eastAsia="微软雅黑" w:cs="Times New Roman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 xml:space="preserve">    保存：-20℃保存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  <w:t>产品简介：</w:t>
      </w:r>
    </w:p>
    <w:p>
      <w:pPr>
        <w:spacing w:line="240" w:lineRule="atLeast"/>
        <w:jc w:val="center"/>
        <w:rPr>
          <w:rFonts w:hint="default" w:ascii="Times New Roman" w:hAnsi="Times New Roman" w:cs="Times New Roman"/>
          <w:b/>
          <w:color w:val="auto"/>
          <w:spacing w:val="34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34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3030220</wp:posOffset>
            </wp:positionH>
            <wp:positionV relativeFrom="paragraph">
              <wp:posOffset>1905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color w:val="auto"/>
          <w:spacing w:val="34"/>
          <w:sz w:val="24"/>
          <w:szCs w:val="24"/>
        </w:rPr>
        <w:t>5'...GTTAAC...3'</w:t>
      </w:r>
    </w:p>
    <w:p>
      <w:pPr>
        <w:spacing w:line="240" w:lineRule="atLeast"/>
        <w:jc w:val="center"/>
        <w:rPr>
          <w:rFonts w:hint="default" w:ascii="Times New Roman" w:hAnsi="Times New Roman" w:cs="Times New Roman"/>
          <w:b/>
          <w:color w:val="auto"/>
          <w:spacing w:val="34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34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3025140</wp:posOffset>
            </wp:positionH>
            <wp:positionV relativeFrom="paragraph">
              <wp:posOffset>136525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color w:val="auto"/>
          <w:spacing w:val="34"/>
          <w:sz w:val="24"/>
          <w:szCs w:val="24"/>
        </w:rPr>
        <w:t>3'...CAATTG...5'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20" w:lineRule="atLeast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pacing w:val="-5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pacing w:val="-5"/>
          <w:sz w:val="21"/>
          <w:szCs w:val="21"/>
        </w:rPr>
        <w:t>注：同裂酶：BstHPI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-5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5"/>
          <w:sz w:val="21"/>
          <w:szCs w:val="21"/>
        </w:rPr>
        <w:t>KspAI，同裂酶对于不同的甲基化修饰可能具有不同敏感性。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6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LightSpeed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  <w:t>TM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超快速内切酶是一系列经过基因工程重组、快速、精确完成DNA切割的限制性内切酶，适用于质粒DNA、PCR产物或基因组DNA等的快速酶切。LightSpeed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  <w:t>TM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超快速内切酶具有如下特点：5~15分钟内即可完成酶切；共用一种酶切Buffer，大大简化酶切反应体系；良好的酶活冗余度，轻松应对底物过量或困难模板酶切。此外，去磷酸化、连接试剂在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EZ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酶切Buffer中具有100%活性，支持一管化反应，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提升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酶切-修饰-连接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的体验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  <w:t>试剂内容：</w:t>
      </w:r>
    </w:p>
    <w:tbl>
      <w:tblPr>
        <w:tblStyle w:val="12"/>
        <w:tblW w:w="5002" w:type="pct"/>
        <w:tblInd w:w="0" w:type="dxa"/>
        <w:tblBorders>
          <w:top w:val="single" w:color="3E3E3F" w:sz="2" w:space="0"/>
          <w:left w:val="single" w:color="3E3E3F" w:sz="2" w:space="0"/>
          <w:bottom w:val="single" w:color="3E3E3F" w:sz="2" w:space="0"/>
          <w:right w:val="single" w:color="3E3E3F" w:sz="2" w:space="0"/>
          <w:insideH w:val="single" w:color="3E3E3F" w:sz="2" w:space="0"/>
          <w:insideV w:val="single" w:color="3E3E3F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19"/>
        <w:gridCol w:w="4931"/>
      </w:tblGrid>
      <w:tr>
        <w:tblPrEx>
          <w:tblBorders>
            <w:top w:val="single" w:color="3E3E3F" w:sz="2" w:space="0"/>
            <w:left w:val="single" w:color="3E3E3F" w:sz="2" w:space="0"/>
            <w:bottom w:val="single" w:color="3E3E3F" w:sz="2" w:space="0"/>
            <w:right w:val="single" w:color="3E3E3F" w:sz="2" w:space="0"/>
            <w:insideH w:val="single" w:color="3E3E3F" w:sz="2" w:space="0"/>
            <w:insideV w:val="single" w:color="3E3E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EZ22020S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50T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3E3E3F" w:sz="2" w:space="0"/>
            <w:left w:val="single" w:color="3E3E3F" w:sz="2" w:space="0"/>
            <w:bottom w:val="single" w:color="3E3E3F" w:sz="2" w:space="0"/>
            <w:right w:val="single" w:color="3E3E3F" w:sz="2" w:space="0"/>
            <w:insideH w:val="single" w:color="3E3E3F" w:sz="2" w:space="0"/>
            <w:insideV w:val="single" w:color="3E3E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LightSpeed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  <w:lang w:val="en-US" w:eastAsia="zh-CN"/>
              </w:rPr>
              <w:t>TM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HpaI</w:t>
            </w:r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μL</w:t>
            </w:r>
          </w:p>
        </w:tc>
      </w:tr>
      <w:tr>
        <w:tblPrEx>
          <w:tblBorders>
            <w:top w:val="single" w:color="3E3E3F" w:sz="2" w:space="0"/>
            <w:left w:val="single" w:color="3E3E3F" w:sz="2" w:space="0"/>
            <w:bottom w:val="single" w:color="3E3E3F" w:sz="2" w:space="0"/>
            <w:right w:val="single" w:color="3E3E3F" w:sz="2" w:space="0"/>
            <w:insideH w:val="single" w:color="3E3E3F" w:sz="2" w:space="0"/>
            <w:insideV w:val="single" w:color="3E3E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10×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EZ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mL</w:t>
            </w:r>
          </w:p>
        </w:tc>
      </w:tr>
      <w:tr>
        <w:tblPrEx>
          <w:tblBorders>
            <w:top w:val="single" w:color="3E3E3F" w:sz="2" w:space="0"/>
            <w:left w:val="single" w:color="3E3E3F" w:sz="2" w:space="0"/>
            <w:bottom w:val="single" w:color="3E3E3F" w:sz="2" w:space="0"/>
            <w:right w:val="single" w:color="3E3E3F" w:sz="2" w:space="0"/>
            <w:insideH w:val="single" w:color="3E3E3F" w:sz="2" w:space="0"/>
            <w:insideV w:val="single" w:color="3E3E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10×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EZ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mL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  <w:t>储存条件：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-20℃以下冷冻避光保存，有效期至少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24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个月。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  <w:t>质量控制：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功能活性检测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最适反应温度下，在20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μL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反应体系中，1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μL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LightSpeed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  <w:lang w:eastAsia="zh-CN"/>
        </w:rPr>
        <w:t>TM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HpaI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能够在15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分钟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内完全消化1μg λDNA。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超长时间温育检测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最适反应温度下，将1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μL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LightSpeed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  <w:lang w:eastAsia="zh-CN"/>
        </w:rPr>
        <w:t>TM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HpaI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与1μg λDNA共同温育3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小时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，未检测到其他核酸酶污染或星号活性引起的底物非特异性降解，延时酶切可能出现星号活性。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酶切-连接-再酶切检测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最适反应温度下，使用1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μL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LightSpeed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  <w:lang w:eastAsia="zh-CN"/>
        </w:rPr>
        <w:t>TM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HpaI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消化底物，回收酶切产物。在22℃下使用适量Fast T4 DNA Ligase可以将酶切产物重新连接。将连接产物再次回收后，使用相同的内切酶可以重新切开连接产物。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非特异性内切酶活性检测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最适反应温度下，将1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μL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LightSpeed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  <w:lang w:eastAsia="zh-CN"/>
        </w:rPr>
        <w:t>TM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HpaI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与1μg超螺旋质粒DNA共同温育4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小时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，使用琼脂糖凝胶电泳检测，质粒DNA仍然处于超螺旋状态。</w:t>
      </w:r>
    </w:p>
    <w:p>
      <w:pPr>
        <w:tabs>
          <w:tab w:val="left" w:pos="7287"/>
        </w:tabs>
        <w:spacing w:before="156" w:beforeLines="50" w:line="240" w:lineRule="atLeast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  <w:t>使用方法：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66" w:firstLineChars="200"/>
        <w:textAlignment w:val="auto"/>
        <w:rPr>
          <w:rFonts w:hint="default" w:ascii="Times New Roman" w:hAnsi="Times New Roman" w:cs="Times New Roman"/>
          <w:b/>
          <w:bCs/>
          <w:color w:val="auto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pacing w:val="-4"/>
          <w:sz w:val="24"/>
          <w:szCs w:val="24"/>
        </w:rPr>
        <w:t>DNA快速酶切流程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2" w:firstLineChars="200"/>
        <w:jc w:val="left"/>
        <w:textAlignment w:val="auto"/>
        <w:rPr>
          <w:rFonts w:hint="default" w:ascii="Times New Roman" w:hAnsi="Times New Roman" w:cs="Times New Roman"/>
          <w:color w:val="auto"/>
          <w:spacing w:val="-2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</w:rPr>
        <w:t>①在冰上按如下建议的加样顺序配制反应体系：</w:t>
      </w:r>
    </w:p>
    <w:tbl>
      <w:tblPr>
        <w:tblStyle w:val="12"/>
        <w:tblW w:w="4996" w:type="pct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68"/>
        <w:gridCol w:w="1890"/>
        <w:gridCol w:w="1890"/>
        <w:gridCol w:w="1890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089" w:type="pct"/>
            <w:tcBorders>
              <w:top w:val="single" w:color="3E3E3F" w:sz="2" w:space="0"/>
              <w:bottom w:val="single" w:color="3E3E3F" w:sz="2" w:space="0"/>
            </w:tcBorders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color="3E3E3F" w:sz="2" w:space="0"/>
              <w:bottom w:val="single" w:color="3E3E3F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  <w:sz w:val="24"/>
                <w:szCs w:val="24"/>
              </w:rPr>
              <w:t>质粒DNA</w:t>
            </w:r>
          </w:p>
        </w:tc>
        <w:tc>
          <w:tcPr>
            <w:tcW w:w="970" w:type="pct"/>
            <w:tcBorders>
              <w:top w:val="single" w:color="3E3E3F" w:sz="2" w:space="0"/>
              <w:bottom w:val="single" w:color="3E3E3F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  <w:sz w:val="24"/>
                <w:szCs w:val="24"/>
              </w:rPr>
              <w:t>PCR产物</w:t>
            </w:r>
          </w:p>
        </w:tc>
        <w:tc>
          <w:tcPr>
            <w:tcW w:w="970" w:type="pct"/>
            <w:tcBorders>
              <w:top w:val="single" w:color="3E3E3F" w:sz="2" w:space="0"/>
              <w:bottom w:val="single" w:color="3E3E3F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  <w:sz w:val="24"/>
                <w:szCs w:val="24"/>
              </w:rPr>
              <w:t>基因组DNA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089" w:type="pct"/>
            <w:tcBorders>
              <w:top w:val="single" w:color="3E3E3F" w:sz="2" w:space="0"/>
              <w:bottom w:val="nil"/>
            </w:tcBorders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ddH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position w:val="-2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O</w:t>
            </w:r>
          </w:p>
        </w:tc>
        <w:tc>
          <w:tcPr>
            <w:tcW w:w="970" w:type="pct"/>
            <w:tcBorders>
              <w:top w:val="single" w:color="3E3E3F" w:sz="2" w:space="0"/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μL</w:t>
            </w:r>
          </w:p>
        </w:tc>
        <w:tc>
          <w:tcPr>
            <w:tcW w:w="970" w:type="pct"/>
            <w:tcBorders>
              <w:top w:val="single" w:color="3E3E3F" w:sz="2" w:space="0"/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16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μL</w:t>
            </w:r>
          </w:p>
        </w:tc>
        <w:tc>
          <w:tcPr>
            <w:tcW w:w="970" w:type="pct"/>
            <w:tcBorders>
              <w:top w:val="single" w:color="3E3E3F" w:sz="2" w:space="0"/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μL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089" w:type="pct"/>
            <w:tcBorders>
              <w:top w:val="nil"/>
              <w:bottom w:val="nil"/>
            </w:tcBorders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10×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EZ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Buﬀer或10×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EZ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μL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089" w:type="pct"/>
            <w:tcBorders>
              <w:top w:val="nil"/>
              <w:bottom w:val="nil"/>
            </w:tcBorders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底物DNA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μL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(up to 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μL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μL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(5μg)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089" w:type="pct"/>
            <w:tcBorders>
              <w:top w:val="nil"/>
              <w:bottom w:val="nil"/>
            </w:tcBorders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LightSpeed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superscript"/>
                <w:lang w:val="en-US" w:eastAsia="zh-CN"/>
              </w:rPr>
              <w:t>TM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HpaI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μL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089" w:type="pct"/>
            <w:tcBorders>
              <w:top w:val="nil"/>
              <w:bottom w:val="single" w:color="3E3E3F" w:sz="2" w:space="0"/>
            </w:tcBorders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color="3E3E3F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μL</w:t>
            </w:r>
          </w:p>
        </w:tc>
        <w:tc>
          <w:tcPr>
            <w:tcW w:w="970" w:type="pct"/>
            <w:tcBorders>
              <w:top w:val="nil"/>
              <w:bottom w:val="single" w:color="3E3E3F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μL</w:t>
            </w:r>
          </w:p>
        </w:tc>
        <w:tc>
          <w:tcPr>
            <w:tcW w:w="970" w:type="pct"/>
            <w:tcBorders>
              <w:top w:val="nil"/>
              <w:bottom w:val="single" w:color="3E3E3F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μL</w:t>
            </w:r>
          </w:p>
        </w:tc>
      </w:tr>
    </w:tbl>
    <w:p>
      <w:pPr>
        <w:spacing w:line="240" w:lineRule="atLeast"/>
        <w:rPr>
          <w:rFonts w:hint="default" w:ascii="Times New Roman" w:hAnsi="Times New Roman" w:cs="Times New Roman"/>
          <w:b w:val="0"/>
          <w:bCs w:val="0"/>
          <w:color w:val="auto"/>
          <w:spacing w:val="-2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pacing w:val="-2"/>
          <w:sz w:val="21"/>
          <w:szCs w:val="21"/>
          <w:lang w:val="en-US" w:eastAsia="zh-CN"/>
        </w:rPr>
        <w:t>注：本体系适用于经过纯化的PCR产物酶切。未纯化的PCR产物具备一定的离子强度，10× EZ Buffer加入量可适当减少至2μL。但由于DNA聚合酶同时具有外切酶活性，会影响酶切产物，因此如下一步需进行克隆等操作，建议酶切前对PCR产物进行纯化。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2" w:firstLineChars="200"/>
        <w:jc w:val="left"/>
        <w:textAlignment w:val="auto"/>
        <w:rPr>
          <w:rFonts w:hint="default" w:ascii="Times New Roman" w:hAnsi="Times New Roman" w:cs="Times New Roman"/>
          <w:color w:val="auto"/>
          <w:spacing w:val="-2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</w:rPr>
        <w:t>②轻柔吸打或轻弹管壁以混匀（切勿涡旋），然后瞬时离心以收集挂壁液滴</w:t>
      </w: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2" w:firstLineChars="200"/>
        <w:jc w:val="left"/>
        <w:textAlignment w:val="auto"/>
        <w:rPr>
          <w:rFonts w:hint="default" w:ascii="Times New Roman" w:hAnsi="Times New Roman" w:cs="Times New Roman"/>
          <w:color w:val="auto"/>
          <w:spacing w:val="-2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</w:rPr>
        <w:t>③37℃温育15分钟（质粒），或15~30分钟（PCR产物），或30~60分钟（基因组DNA）；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2" w:firstLineChars="200"/>
        <w:jc w:val="left"/>
        <w:textAlignment w:val="auto"/>
        <w:rPr>
          <w:rFonts w:hint="default" w:ascii="Times New Roman" w:hAnsi="Times New Roman" w:cs="Times New Roman"/>
          <w:color w:val="auto"/>
          <w:spacing w:val="-2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</w:rPr>
        <w:t>④80℃温育20分钟即可使酶失活，停止反应（可选）。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66" w:firstLineChars="200"/>
        <w:textAlignment w:val="auto"/>
        <w:rPr>
          <w:rFonts w:hint="default" w:ascii="Times New Roman" w:hAnsi="Times New Roman" w:cs="Times New Roman"/>
          <w:b/>
          <w:bCs/>
          <w:color w:val="auto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pacing w:val="-4"/>
          <w:sz w:val="24"/>
          <w:szCs w:val="24"/>
        </w:rPr>
        <w:t>双酶切或多酶切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2" w:firstLineChars="200"/>
        <w:jc w:val="left"/>
        <w:textAlignment w:val="auto"/>
        <w:rPr>
          <w:rFonts w:hint="default" w:ascii="Times New Roman" w:hAnsi="Times New Roman" w:cs="Times New Roman"/>
          <w:color w:val="auto"/>
          <w:spacing w:val="-2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</w:rPr>
        <w:t>①每种快速内切酶的用量为1</w:t>
      </w: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  <w:lang w:eastAsia="zh-CN"/>
        </w:rPr>
        <w:t>μL</w:t>
      </w: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</w:rPr>
        <w:t>，并根据需要适当扩大反应体系；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2" w:firstLineChars="200"/>
        <w:jc w:val="left"/>
        <w:textAlignment w:val="auto"/>
        <w:rPr>
          <w:rFonts w:hint="default" w:ascii="Times New Roman" w:hAnsi="Times New Roman" w:cs="Times New Roman"/>
          <w:color w:val="auto"/>
          <w:spacing w:val="-2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</w:rPr>
        <w:t>②所有快速内切酶的体积总和不得超过总反应体系的1/10；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2" w:firstLineChars="200"/>
        <w:jc w:val="left"/>
        <w:textAlignment w:val="auto"/>
        <w:rPr>
          <w:rFonts w:hint="default" w:ascii="Times New Roman" w:hAnsi="Times New Roman" w:cs="Times New Roman"/>
          <w:color w:val="auto"/>
          <w:spacing w:val="-2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</w:rPr>
        <w:t>③如果所用的几种快速内切酶的最适反应温度不同，应先以最适温度低的酶开始酶切，再添加最适温度较高的酶，在其最适反应温度下进行酶切反应。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66" w:firstLineChars="200"/>
        <w:textAlignment w:val="auto"/>
        <w:rPr>
          <w:rFonts w:hint="default" w:ascii="Times New Roman" w:hAnsi="Times New Roman" w:cs="Times New Roman"/>
          <w:b/>
          <w:bCs/>
          <w:color w:val="auto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pacing w:val="-4"/>
          <w:sz w:val="24"/>
          <w:szCs w:val="24"/>
        </w:rPr>
        <w:t>适用于质粒的扩大反应体系</w:t>
      </w:r>
    </w:p>
    <w:tbl>
      <w:tblPr>
        <w:tblStyle w:val="12"/>
        <w:tblW w:w="4996" w:type="pct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68"/>
        <w:gridCol w:w="1134"/>
        <w:gridCol w:w="1134"/>
        <w:gridCol w:w="1134"/>
        <w:gridCol w:w="1134"/>
        <w:gridCol w:w="1134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089" w:type="pct"/>
            <w:tcBorders>
              <w:top w:val="single" w:color="3E3E3F" w:sz="2" w:space="0"/>
              <w:bottom w:val="nil"/>
            </w:tcBorders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DNA</w:t>
            </w:r>
          </w:p>
        </w:tc>
        <w:tc>
          <w:tcPr>
            <w:tcW w:w="582" w:type="pct"/>
            <w:tcBorders>
              <w:top w:val="single" w:color="3E3E3F" w:sz="2" w:space="0"/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1μg</w:t>
            </w:r>
          </w:p>
        </w:tc>
        <w:tc>
          <w:tcPr>
            <w:tcW w:w="582" w:type="pct"/>
            <w:tcBorders>
              <w:top w:val="single" w:color="3E3E3F" w:sz="2" w:space="0"/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2μg</w:t>
            </w:r>
          </w:p>
        </w:tc>
        <w:tc>
          <w:tcPr>
            <w:tcW w:w="582" w:type="pct"/>
            <w:tcBorders>
              <w:top w:val="single" w:color="3E3E3F" w:sz="2" w:space="0"/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3μg</w:t>
            </w:r>
          </w:p>
        </w:tc>
        <w:tc>
          <w:tcPr>
            <w:tcW w:w="582" w:type="pct"/>
            <w:tcBorders>
              <w:top w:val="single" w:color="3E3E3F" w:sz="2" w:space="0"/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4μg</w:t>
            </w:r>
          </w:p>
        </w:tc>
        <w:tc>
          <w:tcPr>
            <w:tcW w:w="582" w:type="pct"/>
            <w:tcBorders>
              <w:top w:val="single" w:color="3E3E3F" w:sz="2" w:space="0"/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5μg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089" w:type="pct"/>
            <w:tcBorders>
              <w:top w:val="nil"/>
              <w:bottom w:val="nil"/>
            </w:tcBorders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LightSpeed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superscript"/>
                <w:lang w:val="en-US" w:eastAsia="zh-CN"/>
              </w:rPr>
              <w:t>TM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HpaI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μL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089" w:type="pct"/>
            <w:tcBorders>
              <w:top w:val="nil"/>
              <w:bottom w:val="nil"/>
            </w:tcBorders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10×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EZ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Buﬀer或10×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EZ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Color Buﬀer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μL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089" w:type="pct"/>
            <w:tcBorders>
              <w:top w:val="nil"/>
              <w:bottom w:val="single" w:color="3E3E3F" w:sz="2" w:space="0"/>
            </w:tcBorders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582" w:type="pct"/>
            <w:tcBorders>
              <w:top w:val="nil"/>
              <w:bottom w:val="single" w:color="3E3E3F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μL</w:t>
            </w:r>
          </w:p>
        </w:tc>
        <w:tc>
          <w:tcPr>
            <w:tcW w:w="582" w:type="pct"/>
            <w:tcBorders>
              <w:top w:val="nil"/>
              <w:bottom w:val="single" w:color="3E3E3F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μL</w:t>
            </w:r>
          </w:p>
        </w:tc>
        <w:tc>
          <w:tcPr>
            <w:tcW w:w="582" w:type="pct"/>
            <w:tcBorders>
              <w:top w:val="nil"/>
              <w:bottom w:val="single" w:color="3E3E3F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μL</w:t>
            </w:r>
          </w:p>
        </w:tc>
        <w:tc>
          <w:tcPr>
            <w:tcW w:w="582" w:type="pct"/>
            <w:tcBorders>
              <w:top w:val="nil"/>
              <w:bottom w:val="single" w:color="3E3E3F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μL</w:t>
            </w:r>
          </w:p>
        </w:tc>
        <w:tc>
          <w:tcPr>
            <w:tcW w:w="582" w:type="pct"/>
            <w:tcBorders>
              <w:top w:val="nil"/>
              <w:bottom w:val="single" w:color="3E3E3F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μL</w:t>
            </w:r>
          </w:p>
        </w:tc>
      </w:tr>
    </w:tbl>
    <w:p>
      <w:pPr>
        <w:spacing w:line="240" w:lineRule="atLeast"/>
        <w:rPr>
          <w:rFonts w:hint="default" w:ascii="Times New Roman" w:hAnsi="Times New Roman" w:cs="Times New Roman"/>
          <w:b w:val="0"/>
          <w:bCs w:val="0"/>
          <w:color w:val="auto"/>
          <w:spacing w:val="-2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pacing w:val="-2"/>
          <w:sz w:val="21"/>
          <w:szCs w:val="21"/>
          <w:lang w:val="en-US" w:eastAsia="zh-CN"/>
        </w:rPr>
        <w:t>注：如果总反应体系大于20μL，应适当增加温育时间，尽量使用水浴、金属浴或沙浴。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66" w:firstLineChars="200"/>
        <w:textAlignment w:val="auto"/>
        <w:rPr>
          <w:rFonts w:hint="default" w:ascii="Times New Roman" w:hAnsi="Times New Roman" w:cs="Times New Roman"/>
          <w:b/>
          <w:bCs/>
          <w:color w:val="auto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pacing w:val="-4"/>
          <w:sz w:val="24"/>
          <w:szCs w:val="24"/>
        </w:rPr>
        <w:t>不同DNA中的酶切位点数量</w:t>
      </w:r>
    </w:p>
    <w:tbl>
      <w:tblPr>
        <w:tblStyle w:val="12"/>
        <w:tblW w:w="4997" w:type="pct"/>
        <w:jc w:val="center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1203"/>
        <w:gridCol w:w="1265"/>
        <w:gridCol w:w="1141"/>
        <w:gridCol w:w="1330"/>
        <w:gridCol w:w="1012"/>
        <w:gridCol w:w="1456"/>
        <w:gridCol w:w="1131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617" w:type="pct"/>
            <w:tcBorders>
              <w:top w:val="single" w:color="3E3E3F" w:sz="2" w:space="0"/>
              <w:bottom w:val="single" w:color="3E3E3F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λDNA</w:t>
            </w:r>
          </w:p>
        </w:tc>
        <w:tc>
          <w:tcPr>
            <w:tcW w:w="617" w:type="pct"/>
            <w:tcBorders>
              <w:top w:val="single" w:color="3E3E3F" w:sz="2" w:space="0"/>
              <w:bottom w:val="single" w:color="3E3E3F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ΦX174</w:t>
            </w:r>
          </w:p>
        </w:tc>
        <w:tc>
          <w:tcPr>
            <w:tcW w:w="649" w:type="pct"/>
            <w:tcBorders>
              <w:top w:val="single" w:color="3E3E3F" w:sz="2" w:space="0"/>
              <w:bottom w:val="single" w:color="3E3E3F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pBR322</w:t>
            </w:r>
          </w:p>
        </w:tc>
        <w:tc>
          <w:tcPr>
            <w:tcW w:w="585" w:type="pct"/>
            <w:tcBorders>
              <w:top w:val="single" w:color="3E3E3F" w:sz="2" w:space="0"/>
              <w:bottom w:val="single" w:color="3E3E3F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pUC57</w:t>
            </w:r>
          </w:p>
        </w:tc>
        <w:tc>
          <w:tcPr>
            <w:tcW w:w="682" w:type="pct"/>
            <w:tcBorders>
              <w:top w:val="single" w:color="3E3E3F" w:sz="2" w:space="0"/>
              <w:bottom w:val="single" w:color="3E3E3F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pUC18/19</w:t>
            </w:r>
          </w:p>
        </w:tc>
        <w:tc>
          <w:tcPr>
            <w:tcW w:w="519" w:type="pct"/>
            <w:tcBorders>
              <w:top w:val="single" w:color="3E3E3F" w:sz="2" w:space="0"/>
              <w:bottom w:val="single" w:color="3E3E3F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SV40</w:t>
            </w:r>
          </w:p>
        </w:tc>
        <w:tc>
          <w:tcPr>
            <w:tcW w:w="747" w:type="pct"/>
            <w:tcBorders>
              <w:top w:val="single" w:color="3E3E3F" w:sz="2" w:space="0"/>
              <w:bottom w:val="single" w:color="3E3E3F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M13mp18/19</w:t>
            </w:r>
          </w:p>
        </w:tc>
        <w:tc>
          <w:tcPr>
            <w:tcW w:w="580" w:type="pct"/>
            <w:tcBorders>
              <w:top w:val="single" w:color="3E3E3F" w:sz="2" w:space="0"/>
              <w:bottom w:val="single" w:color="3E3E3F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Adeno2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617" w:type="pct"/>
            <w:tcBorders>
              <w:top w:val="single" w:color="3E3E3F" w:sz="2" w:space="0"/>
              <w:bottom w:val="single" w:color="3E3E3F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17" w:type="pct"/>
            <w:tcBorders>
              <w:top w:val="single" w:color="3E3E3F" w:sz="2" w:space="0"/>
              <w:bottom w:val="single" w:color="3E3E3F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49" w:type="pct"/>
            <w:tcBorders>
              <w:top w:val="single" w:color="3E3E3F" w:sz="2" w:space="0"/>
              <w:bottom w:val="single" w:color="3E3E3F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pct"/>
            <w:tcBorders>
              <w:top w:val="single" w:color="3E3E3F" w:sz="2" w:space="0"/>
              <w:bottom w:val="single" w:color="3E3E3F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2" w:type="pct"/>
            <w:tcBorders>
              <w:top w:val="single" w:color="3E3E3F" w:sz="2" w:space="0"/>
              <w:bottom w:val="single" w:color="3E3E3F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9" w:type="pct"/>
            <w:tcBorders>
              <w:top w:val="single" w:color="3E3E3F" w:sz="2" w:space="0"/>
              <w:bottom w:val="single" w:color="3E3E3F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47" w:type="pct"/>
            <w:tcBorders>
              <w:top w:val="single" w:color="3E3E3F" w:sz="2" w:space="0"/>
              <w:bottom w:val="single" w:color="3E3E3F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0" w:type="pct"/>
            <w:tcBorders>
              <w:top w:val="single" w:color="3E3E3F" w:sz="2" w:space="0"/>
              <w:bottom w:val="single" w:color="3E3E3F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66" w:firstLineChars="200"/>
        <w:textAlignment w:val="auto"/>
        <w:rPr>
          <w:rFonts w:hint="default" w:ascii="Times New Roman" w:hAnsi="Times New Roman" w:cs="Times New Roman"/>
          <w:b/>
          <w:bCs/>
          <w:color w:val="auto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pacing w:val="-4"/>
          <w:sz w:val="24"/>
          <w:szCs w:val="24"/>
        </w:rPr>
        <w:t>甲基化修饰影响</w:t>
      </w:r>
    </w:p>
    <w:tbl>
      <w:tblPr>
        <w:tblStyle w:val="7"/>
        <w:tblW w:w="4981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497"/>
        <w:gridCol w:w="2730"/>
        <w:gridCol w:w="2730"/>
        <w:gridCol w:w="147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54" w:type="pct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Dam</w:t>
            </w:r>
          </w:p>
        </w:tc>
        <w:tc>
          <w:tcPr>
            <w:tcW w:w="754" w:type="pct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Dcm</w:t>
            </w:r>
          </w:p>
        </w:tc>
        <w:tc>
          <w:tcPr>
            <w:tcW w:w="1375" w:type="pct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CpG</w:t>
            </w:r>
          </w:p>
        </w:tc>
        <w:tc>
          <w:tcPr>
            <w:tcW w:w="1375" w:type="pct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EcoKI</w:t>
            </w:r>
          </w:p>
        </w:tc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EcoBI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54" w:type="pct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无影响</w:t>
            </w:r>
          </w:p>
        </w:tc>
        <w:tc>
          <w:tcPr>
            <w:tcW w:w="754" w:type="pct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无影响</w:t>
            </w:r>
          </w:p>
        </w:tc>
        <w:tc>
          <w:tcPr>
            <w:tcW w:w="1375" w:type="pct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序列完全重叠剪切阻断</w:t>
            </w:r>
          </w:p>
        </w:tc>
        <w:tc>
          <w:tcPr>
            <w:tcW w:w="1375" w:type="pct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序列完全重叠剪切阻断</w:t>
            </w:r>
          </w:p>
        </w:tc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无影响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66" w:firstLineChars="200"/>
        <w:textAlignment w:val="auto"/>
        <w:rPr>
          <w:rFonts w:hint="default" w:ascii="Times New Roman" w:hAnsi="Times New Roman" w:cs="Times New Roman"/>
          <w:b/>
          <w:bCs/>
          <w:color w:val="auto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pacing w:val="-4"/>
          <w:sz w:val="24"/>
          <w:szCs w:val="24"/>
        </w:rPr>
        <w:t>在不同反应缓冲液中的活性</w:t>
      </w:r>
    </w:p>
    <w:tbl>
      <w:tblPr>
        <w:tblStyle w:val="7"/>
        <w:tblW w:w="4995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557"/>
        <w:gridCol w:w="3041"/>
        <w:gridCol w:w="2180"/>
        <w:gridCol w:w="223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70" w:type="pct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82" w:type="pct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EZ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Buﬀer</w:t>
            </w:r>
          </w:p>
        </w:tc>
        <w:tc>
          <w:tcPr>
            <w:tcW w:w="1527" w:type="pct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Thermo Scientiﬁc</w:t>
            </w:r>
          </w:p>
          <w:p>
            <w:pPr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FastDigest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NEB</w:t>
            </w:r>
          </w:p>
          <w:p>
            <w:pPr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CutSmart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®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Takara</w:t>
            </w:r>
          </w:p>
          <w:p>
            <w:pPr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QuickCut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superscript"/>
                <w:lang w:val="en-US" w:eastAsia="zh-CN"/>
              </w:rPr>
              <w:t>TM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Buﬀer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70" w:type="pct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活性</w:t>
            </w:r>
          </w:p>
        </w:tc>
        <w:tc>
          <w:tcPr>
            <w:tcW w:w="782" w:type="pct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100%</w:t>
            </w:r>
          </w:p>
        </w:tc>
        <w:tc>
          <w:tcPr>
            <w:tcW w:w="1527" w:type="pct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</w:tbl>
    <w:p>
      <w:pPr>
        <w:spacing w:line="240" w:lineRule="atLeast"/>
        <w:rPr>
          <w:rFonts w:hint="default" w:ascii="Times New Roman" w:hAnsi="Times New Roman" w:cs="Times New Roman"/>
          <w:b w:val="0"/>
          <w:bCs w:val="0"/>
          <w:color w:val="auto"/>
          <w:spacing w:val="-2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pacing w:val="-2"/>
          <w:sz w:val="21"/>
          <w:szCs w:val="21"/>
          <w:lang w:val="en-US" w:eastAsia="zh-CN"/>
        </w:rPr>
        <w:t>注：活性数据来自三狮生物限制酶标准反应体系下的检测。</w:t>
      </w:r>
    </w:p>
    <w:sectPr>
      <w:headerReference r:id="rId3" w:type="default"/>
      <w:footerReference r:id="rId4" w:type="default"/>
      <w:pgSz w:w="11906" w:h="16838"/>
      <w:pgMar w:top="1440" w:right="1080" w:bottom="1134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eastAsia="宋体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9974580</wp:posOffset>
          </wp:positionV>
          <wp:extent cx="7564755" cy="673735"/>
          <wp:effectExtent l="0" t="0" r="17145" b="50165"/>
          <wp:wrapThrough wrapText="bothSides">
            <wp:wrapPolygon>
              <wp:start x="0" y="0"/>
              <wp:lineTo x="0" y="20765"/>
              <wp:lineTo x="21540" y="20765"/>
              <wp:lineTo x="21540" y="0"/>
              <wp:lineTo x="0" y="0"/>
            </wp:wrapPolygon>
          </wp:wrapThrough>
          <wp:docPr id="4" name="图片 2" descr="C:\Users\zyy\Desktop\图片2.png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C:\Users\zyy\Desktop\图片2.png图片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4755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3153F1"/>
    <w:multiLevelType w:val="singleLevel"/>
    <w:tmpl w:val="053153F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000000"/>
    <w:rsid w:val="000A71EE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5FAF0F69"/>
    <w:rsid w:val="604663A9"/>
    <w:rsid w:val="61071063"/>
    <w:rsid w:val="61B943D3"/>
    <w:rsid w:val="635973E4"/>
    <w:rsid w:val="65605ABA"/>
    <w:rsid w:val="66096B9A"/>
    <w:rsid w:val="66AE3D8B"/>
    <w:rsid w:val="67E8720F"/>
    <w:rsid w:val="68283A50"/>
    <w:rsid w:val="68EE777B"/>
    <w:rsid w:val="6918002D"/>
    <w:rsid w:val="6DB723DB"/>
    <w:rsid w:val="6E6D05A9"/>
    <w:rsid w:val="6EF566F9"/>
    <w:rsid w:val="6F207590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60"/>
      <w:outlineLvl w:val="1"/>
    </w:pPr>
    <w:rPr>
      <w:rFonts w:ascii="微软雅黑" w:hAnsi="微软雅黑" w:eastAsia="微软雅黑" w:cs="微软雅黑"/>
      <w:b/>
      <w:bCs/>
      <w:sz w:val="21"/>
      <w:szCs w:val="21"/>
      <w:lang w:val="en-US" w:eastAsia="en-US" w:bidi="en-US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54"/>
    </w:pPr>
    <w:rPr>
      <w:rFonts w:ascii="PMingLiU" w:hAnsi="PMingLiU" w:eastAsia="PMingLiU" w:cs="PMingLiU"/>
      <w:sz w:val="21"/>
      <w:szCs w:val="21"/>
      <w:lang w:val="en-US" w:eastAsia="en-US" w:bidi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paragraph" w:styleId="11">
    <w:name w:val="List Paragraph"/>
    <w:basedOn w:val="1"/>
    <w:qFormat/>
    <w:uiPriority w:val="1"/>
    <w:pPr>
      <w:spacing w:before="54"/>
      <w:ind w:left="534" w:hanging="432"/>
    </w:pPr>
    <w:rPr>
      <w:rFonts w:ascii="PMingLiU" w:hAnsi="PMingLiU" w:eastAsia="PMingLiU" w:cs="PMingLiU"/>
      <w:lang w:val="en-US" w:eastAsia="en-US" w:bidi="en-US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1208</Words>
  <Characters>1786</Characters>
  <Lines>0</Lines>
  <Paragraphs>0</Paragraphs>
  <TotalTime>5</TotalTime>
  <ScaleCrop>false</ScaleCrop>
  <LinksUpToDate>false</LinksUpToDate>
  <CharactersWithSpaces>1955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2020-07-28T01:52:00Z</dcterms:created>
  <dc:creator>Q1000</dc:creator>
  <cp:lastModifiedBy>董振国</cp:lastModifiedBy>
  <cp:lastPrinted>2020-07-28T07:17:00Z</cp:lastPrinted>
  <dcterms:modified xsi:type="dcterms:W3CDTF">2022-10-21T11:32:02Z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5C605595E9714E3798159651B922C1A5</vt:lpwstr>
  </property>
</Properties>
</file>