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pPr w:leftFromText="180" w:rightFromText="180" w:vertAnchor="page" w:horzAnchor="page" w:tblpXSpec="center" w:tblpY="1506"/>
        <w:tblOverlap w:val="never"/>
        <w:tblW w:w="101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40"/>
      </w:tblGrid>
      <w:tr w:rsidR="00937254">
        <w:trPr>
          <w:trHeight w:val="412"/>
          <w:jc w:val="center"/>
        </w:trPr>
        <w:tc>
          <w:tcPr>
            <w:tcW w:w="10140" w:type="dxa"/>
            <w:tcBorders>
              <w:tl2br w:val="nil"/>
              <w:tr2bl w:val="nil"/>
            </w:tcBorders>
          </w:tcPr>
          <w:p w:rsidR="00937254" w:rsidRDefault="00653842">
            <w:pP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</w:pPr>
            <w:bookmarkStart w:id="0" w:name="_GoBack"/>
            <w:bookmarkEnd w:id="0"/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使用前请仔细阅读说明书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 xml:space="preserve">                                               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版本号：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202</w:t>
            </w:r>
            <w:r>
              <w:rPr>
                <w:rFonts w:ascii="Times New Roman" w:eastAsia="黑体" w:hAnsi="Times New Roman" w:cs="Times New Roman" w:hint="eastAsia"/>
                <w:b/>
                <w:bCs/>
                <w:sz w:val="24"/>
                <w:szCs w:val="32"/>
              </w:rPr>
              <w:t>202</w:t>
            </w:r>
          </w:p>
        </w:tc>
      </w:tr>
    </w:tbl>
    <w:p w:rsidR="00937254" w:rsidRDefault="00653842">
      <w:pPr>
        <w:spacing w:line="400" w:lineRule="exact"/>
        <w:jc w:val="center"/>
        <w:rPr>
          <w:rFonts w:ascii="Times New Roman" w:eastAsia="微软雅黑" w:hAnsi="Times New Roman" w:cs="Times New Roman"/>
          <w:b/>
          <w:bCs/>
          <w:sz w:val="28"/>
          <w:szCs w:val="28"/>
        </w:rPr>
      </w:pPr>
      <w:r>
        <w:rPr>
          <w:rFonts w:ascii="Times New Roman" w:eastAsia="微软雅黑" w:hAnsi="Times New Roman" w:cs="Times New Roman"/>
          <w:b/>
          <w:sz w:val="36"/>
          <w:szCs w:val="36"/>
        </w:rPr>
        <w:t>LightSpeed</w:t>
      </w:r>
      <w:r>
        <w:rPr>
          <w:rFonts w:ascii="Times New Roman" w:eastAsia="微软雅黑" w:hAnsi="Times New Roman" w:cs="Times New Roman" w:hint="eastAsia"/>
          <w:b/>
          <w:sz w:val="30"/>
          <w:szCs w:val="30"/>
          <w:vertAlign w:val="superscript"/>
        </w:rPr>
        <w:t>TM</w:t>
      </w:r>
      <w:r>
        <w:rPr>
          <w:rFonts w:ascii="Times New Roman" w:eastAsia="微软雅黑" w:hAnsi="Times New Roman" w:cs="Times New Roman"/>
          <w:b/>
          <w:sz w:val="36"/>
          <w:szCs w:val="36"/>
        </w:rPr>
        <w:t xml:space="preserve"> </w:t>
      </w:r>
      <w:r>
        <w:rPr>
          <w:rFonts w:ascii="Times New Roman" w:eastAsia="微软雅黑" w:hAnsi="Times New Roman" w:cs="Times New Roman" w:hint="eastAsia"/>
          <w:b/>
          <w:sz w:val="36"/>
          <w:szCs w:val="36"/>
        </w:rPr>
        <w:t>NotI</w:t>
      </w:r>
    </w:p>
    <w:p w:rsidR="00937254" w:rsidRDefault="00653842" w:rsidP="003D3FE9">
      <w:pPr>
        <w:spacing w:beforeLines="50" w:before="156" w:line="420" w:lineRule="exact"/>
        <w:jc w:val="left"/>
        <w:rPr>
          <w:rFonts w:ascii="Times New Roman" w:eastAsia="黑体" w:hAnsi="Times New Roman" w:cs="Times New Roman"/>
          <w:b/>
          <w:bCs/>
          <w:sz w:val="28"/>
          <w:szCs w:val="28"/>
        </w:rPr>
      </w:pPr>
      <w:r>
        <w:rPr>
          <w:rFonts w:ascii="Times New Roman" w:eastAsia="黑体" w:hAnsi="Times New Roman" w:cs="Times New Roman"/>
          <w:b/>
          <w:bCs/>
          <w:sz w:val="28"/>
          <w:szCs w:val="28"/>
        </w:rPr>
        <w:t>货号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：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EZ220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>27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S        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规格：</w:t>
      </w:r>
      <w:r>
        <w:rPr>
          <w:rFonts w:ascii="Times New Roman" w:eastAsia="微软雅黑" w:hAnsi="Times New Roman" w:cs="Times New Roman" w:hint="eastAsia"/>
          <w:b/>
          <w:bCs/>
          <w:sz w:val="28"/>
          <w:szCs w:val="28"/>
        </w:rPr>
        <w:t>50</w:t>
      </w:r>
      <w:r>
        <w:rPr>
          <w:rFonts w:ascii="Times New Roman" w:eastAsia="微软雅黑" w:hAnsi="Times New Roman" w:cs="Times New Roman"/>
          <w:b/>
          <w:bCs/>
          <w:sz w:val="28"/>
          <w:szCs w:val="28"/>
        </w:rPr>
        <w:t>T</w:t>
      </w:r>
      <w:r>
        <w:rPr>
          <w:rFonts w:ascii="Times New Roman" w:eastAsia="微软雅黑" w:hAnsi="Times New Roman" w:cs="Times New Roman" w:hint="eastAsia"/>
          <w:b/>
          <w:bCs/>
          <w:sz w:val="28"/>
          <w:szCs w:val="28"/>
        </w:rPr>
        <w:t xml:space="preserve">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 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保存：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-20℃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保存</w:t>
      </w:r>
    </w:p>
    <w:p w:rsidR="00937254" w:rsidRDefault="00653842">
      <w:pPr>
        <w:widowControl/>
        <w:spacing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产品简介：</w:t>
      </w:r>
    </w:p>
    <w:p w:rsidR="00937254" w:rsidRDefault="00653842">
      <w:pPr>
        <w:spacing w:line="240" w:lineRule="atLeast"/>
        <w:jc w:val="center"/>
        <w:rPr>
          <w:rFonts w:ascii="Times New Roman" w:hAnsi="Times New Roman" w:cs="Times New Roman"/>
          <w:b/>
          <w:spacing w:val="34"/>
          <w:sz w:val="24"/>
        </w:rPr>
      </w:pPr>
      <w:r>
        <w:rPr>
          <w:rFonts w:ascii="Times New Roman" w:hAnsi="Times New Roman" w:cs="Times New Roman"/>
          <w:noProof/>
          <w:spacing w:val="34"/>
          <w:szCs w:val="21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2747010</wp:posOffset>
            </wp:positionH>
            <wp:positionV relativeFrom="paragraph">
              <wp:posOffset>6985</wp:posOffset>
            </wp:positionV>
            <wp:extent cx="107950" cy="59055"/>
            <wp:effectExtent l="0" t="0" r="6350" b="17145"/>
            <wp:wrapNone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59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pacing w:val="34"/>
          <w:sz w:val="24"/>
        </w:rPr>
        <w:t>5'...GCGGCCGC...3'</w:t>
      </w:r>
    </w:p>
    <w:p w:rsidR="00937254" w:rsidRDefault="00653842">
      <w:pPr>
        <w:spacing w:line="240" w:lineRule="atLeast"/>
        <w:jc w:val="center"/>
        <w:rPr>
          <w:rFonts w:ascii="Times New Roman" w:hAnsi="Times New Roman" w:cs="Times New Roman"/>
          <w:b/>
          <w:spacing w:val="34"/>
          <w:sz w:val="24"/>
        </w:rPr>
      </w:pPr>
      <w:r>
        <w:rPr>
          <w:rFonts w:ascii="Times New Roman" w:hAnsi="Times New Roman" w:cs="Times New Roman"/>
          <w:noProof/>
          <w:spacing w:val="34"/>
          <w:sz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3295650</wp:posOffset>
            </wp:positionH>
            <wp:positionV relativeFrom="paragraph">
              <wp:posOffset>123190</wp:posOffset>
            </wp:positionV>
            <wp:extent cx="107950" cy="59055"/>
            <wp:effectExtent l="0" t="0" r="6350" b="17145"/>
            <wp:wrapNone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07950" cy="59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pacing w:val="34"/>
          <w:sz w:val="24"/>
        </w:rPr>
        <w:t>3'...CGCCGGCG...5'</w:t>
      </w:r>
    </w:p>
    <w:p w:rsidR="00937254" w:rsidRDefault="00653842" w:rsidP="003D3FE9">
      <w:pPr>
        <w:spacing w:afterLines="50" w:after="156" w:line="320" w:lineRule="atLeast"/>
        <w:jc w:val="center"/>
        <w:rPr>
          <w:rFonts w:ascii="Times New Roman" w:hAnsi="Times New Roman" w:cs="Times New Roman"/>
          <w:spacing w:val="-5"/>
          <w:szCs w:val="21"/>
        </w:rPr>
      </w:pPr>
      <w:r>
        <w:rPr>
          <w:rFonts w:ascii="Times New Roman" w:hAnsi="Times New Roman" w:cs="Times New Roman"/>
          <w:spacing w:val="-5"/>
          <w:szCs w:val="21"/>
        </w:rPr>
        <w:t>注：同裂酶：</w:t>
      </w:r>
      <w:r>
        <w:rPr>
          <w:rFonts w:ascii="Times New Roman" w:hAnsi="Times New Roman" w:cs="Times New Roman"/>
          <w:spacing w:val="-5"/>
          <w:szCs w:val="21"/>
        </w:rPr>
        <w:t>CciNI</w:t>
      </w:r>
      <w:r>
        <w:rPr>
          <w:rFonts w:ascii="Times New Roman" w:hAnsi="Times New Roman" w:cs="Times New Roman"/>
          <w:spacing w:val="-5"/>
          <w:szCs w:val="21"/>
        </w:rPr>
        <w:t>，同裂酶对于不同的甲基化修饰可能具有不同敏感性。</w:t>
      </w:r>
    </w:p>
    <w:p w:rsidR="00937254" w:rsidRDefault="00653842">
      <w:pPr>
        <w:widowControl/>
        <w:spacing w:line="420" w:lineRule="exact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r>
        <w:rPr>
          <w:rFonts w:ascii="Times New Roman" w:hAnsi="Times New Roman" w:cs="Times New Roman"/>
          <w:sz w:val="24"/>
        </w:rPr>
        <w:t>超快速内切酶是一系列经过基因工程重组、快速、精确完成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切割的限制性内切酶，适用于质粒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、</w:t>
      </w:r>
      <w:r>
        <w:rPr>
          <w:rFonts w:ascii="Times New Roman" w:hAnsi="Times New Roman" w:cs="Times New Roman"/>
          <w:sz w:val="24"/>
        </w:rPr>
        <w:t>PCR</w:t>
      </w:r>
      <w:r>
        <w:rPr>
          <w:rFonts w:ascii="Times New Roman" w:hAnsi="Times New Roman" w:cs="Times New Roman"/>
          <w:sz w:val="24"/>
        </w:rPr>
        <w:t>产物或基因组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等的快速酶切。</w:t>
      </w:r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r>
        <w:rPr>
          <w:rFonts w:ascii="Times New Roman" w:hAnsi="Times New Roman" w:cs="Times New Roman"/>
          <w:sz w:val="24"/>
        </w:rPr>
        <w:t>超快速内切酶具有如下特点：</w:t>
      </w:r>
      <w:r>
        <w:rPr>
          <w:rFonts w:ascii="Times New Roman" w:hAnsi="Times New Roman" w:cs="Times New Roman"/>
          <w:sz w:val="24"/>
        </w:rPr>
        <w:t>5~15</w:t>
      </w:r>
      <w:r>
        <w:rPr>
          <w:rFonts w:ascii="Times New Roman" w:hAnsi="Times New Roman" w:cs="Times New Roman"/>
          <w:sz w:val="24"/>
        </w:rPr>
        <w:t>分钟内即可完成酶切；共用一种酶切</w:t>
      </w:r>
      <w:r>
        <w:rPr>
          <w:rFonts w:ascii="Times New Roman" w:hAnsi="Times New Roman" w:cs="Times New Roman"/>
          <w:sz w:val="24"/>
        </w:rPr>
        <w:t>Buffer</w:t>
      </w:r>
      <w:r>
        <w:rPr>
          <w:rFonts w:ascii="Times New Roman" w:hAnsi="Times New Roman" w:cs="Times New Roman"/>
          <w:sz w:val="24"/>
        </w:rPr>
        <w:t>，大大简化酶切反应体系；良好的酶活冗余度，轻松应对底物过量或困难模板酶切。此外，去磷酸化、连接试剂在</w:t>
      </w:r>
      <w:r>
        <w:rPr>
          <w:rFonts w:ascii="Times New Roman" w:hAnsi="Times New Roman" w:cs="Times New Roman"/>
          <w:sz w:val="24"/>
        </w:rPr>
        <w:t>EZ</w:t>
      </w:r>
      <w:r>
        <w:rPr>
          <w:rFonts w:ascii="Times New Roman" w:hAnsi="Times New Roman" w:cs="Times New Roman"/>
          <w:sz w:val="24"/>
        </w:rPr>
        <w:t>酶切</w:t>
      </w:r>
      <w:r>
        <w:rPr>
          <w:rFonts w:ascii="Times New Roman" w:hAnsi="Times New Roman" w:cs="Times New Roman"/>
          <w:sz w:val="24"/>
        </w:rPr>
        <w:t>Buffer</w:t>
      </w:r>
      <w:r>
        <w:rPr>
          <w:rFonts w:ascii="Times New Roman" w:hAnsi="Times New Roman" w:cs="Times New Roman"/>
          <w:sz w:val="24"/>
        </w:rPr>
        <w:t>中具有</w:t>
      </w:r>
      <w:r>
        <w:rPr>
          <w:rFonts w:ascii="Times New Roman" w:hAnsi="Times New Roman" w:cs="Times New Roman"/>
          <w:sz w:val="24"/>
        </w:rPr>
        <w:t>100%</w:t>
      </w:r>
      <w:r>
        <w:rPr>
          <w:rFonts w:ascii="Times New Roman" w:hAnsi="Times New Roman" w:cs="Times New Roman"/>
          <w:sz w:val="24"/>
        </w:rPr>
        <w:t>活性，</w:t>
      </w:r>
      <w:r>
        <w:rPr>
          <w:rFonts w:ascii="宋体" w:eastAsia="宋体" w:hAnsi="宋体" w:cs="宋体" w:hint="eastAsia"/>
          <w:sz w:val="24"/>
        </w:rPr>
        <w:t>支持一管化反应，提升</w:t>
      </w:r>
      <w:r>
        <w:rPr>
          <w:rFonts w:ascii="宋体" w:eastAsia="宋体" w:hAnsi="宋体" w:cs="宋体" w:hint="eastAsia"/>
          <w:sz w:val="24"/>
        </w:rPr>
        <w:t>“</w:t>
      </w:r>
      <w:r>
        <w:rPr>
          <w:rFonts w:ascii="宋体" w:eastAsia="宋体" w:hAnsi="宋体" w:cs="宋体" w:hint="eastAsia"/>
          <w:sz w:val="24"/>
        </w:rPr>
        <w:t>酶切</w:t>
      </w:r>
      <w:r>
        <w:rPr>
          <w:rFonts w:ascii="宋体" w:eastAsia="宋体" w:hAnsi="宋体" w:cs="宋体" w:hint="eastAsia"/>
          <w:sz w:val="24"/>
        </w:rPr>
        <w:t>-</w:t>
      </w:r>
      <w:r>
        <w:rPr>
          <w:rFonts w:ascii="宋体" w:eastAsia="宋体" w:hAnsi="宋体" w:cs="宋体" w:hint="eastAsia"/>
          <w:sz w:val="24"/>
        </w:rPr>
        <w:t>修饰</w:t>
      </w:r>
      <w:r>
        <w:rPr>
          <w:rFonts w:ascii="宋体" w:eastAsia="宋体" w:hAnsi="宋体" w:cs="宋体" w:hint="eastAsia"/>
          <w:sz w:val="24"/>
        </w:rPr>
        <w:t>-</w:t>
      </w:r>
      <w:r>
        <w:rPr>
          <w:rFonts w:ascii="宋体" w:eastAsia="宋体" w:hAnsi="宋体" w:cs="宋体" w:hint="eastAsia"/>
          <w:sz w:val="24"/>
        </w:rPr>
        <w:t>连接</w:t>
      </w:r>
      <w:r>
        <w:rPr>
          <w:rFonts w:ascii="宋体" w:eastAsia="宋体" w:hAnsi="宋体" w:cs="宋体" w:hint="eastAsia"/>
          <w:sz w:val="24"/>
        </w:rPr>
        <w:t>”</w:t>
      </w:r>
      <w:r>
        <w:rPr>
          <w:rFonts w:ascii="宋体" w:eastAsia="宋体" w:hAnsi="宋体" w:cs="宋体" w:hint="eastAsia"/>
          <w:sz w:val="24"/>
        </w:rPr>
        <w:t>的体验。</w:t>
      </w:r>
    </w:p>
    <w:p w:rsidR="00937254" w:rsidRDefault="00653842">
      <w:pPr>
        <w:widowControl/>
        <w:spacing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试剂内容：</w:t>
      </w:r>
    </w:p>
    <w:tbl>
      <w:tblPr>
        <w:tblStyle w:val="TableNormal"/>
        <w:tblW w:w="5002" w:type="pct"/>
        <w:tblInd w:w="0" w:type="dxa"/>
        <w:tblBorders>
          <w:top w:val="single" w:sz="2" w:space="0" w:color="3E3E3F"/>
          <w:left w:val="single" w:sz="2" w:space="0" w:color="3E3E3F"/>
          <w:bottom w:val="single" w:sz="2" w:space="0" w:color="3E3E3F"/>
          <w:right w:val="single" w:sz="2" w:space="0" w:color="3E3E3F"/>
          <w:insideH w:val="single" w:sz="2" w:space="0" w:color="3E3E3F"/>
          <w:insideV w:val="single" w:sz="2" w:space="0" w:color="3E3E3F"/>
        </w:tblBorders>
        <w:tblLook w:val="04A0" w:firstRow="1" w:lastRow="0" w:firstColumn="1" w:lastColumn="0" w:noHBand="0" w:noVBand="1"/>
      </w:tblPr>
      <w:tblGrid>
        <w:gridCol w:w="4818"/>
        <w:gridCol w:w="4932"/>
      </w:tblGrid>
      <w:tr w:rsidR="00937254">
        <w:trPr>
          <w:trHeight w:hRule="exact" w:val="334"/>
        </w:trPr>
        <w:tc>
          <w:tcPr>
            <w:tcW w:w="2471" w:type="pct"/>
            <w:tcBorders>
              <w:left w:val="nil"/>
              <w:right w:val="nil"/>
            </w:tcBorders>
            <w:vAlign w:val="center"/>
          </w:tcPr>
          <w:p w:rsidR="00937254" w:rsidRDefault="0065384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组分</w:t>
            </w:r>
          </w:p>
        </w:tc>
        <w:tc>
          <w:tcPr>
            <w:tcW w:w="2528" w:type="pct"/>
            <w:tcBorders>
              <w:left w:val="nil"/>
              <w:right w:val="nil"/>
            </w:tcBorders>
            <w:vAlign w:val="center"/>
          </w:tcPr>
          <w:p w:rsidR="00937254" w:rsidRDefault="0065384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EZ22027S-02</w:t>
            </w:r>
            <w:r>
              <w:rPr>
                <w:rFonts w:ascii="Times New Roman" w:hAnsi="Times New Roman" w:cs="Times New Roman" w:hint="eastAsia"/>
                <w:sz w:val="24"/>
              </w:rPr>
              <w:t>（</w:t>
            </w:r>
            <w:r>
              <w:rPr>
                <w:rFonts w:ascii="Times New Roman" w:hAnsi="Times New Roman" w:cs="Times New Roman" w:hint="eastAsia"/>
                <w:sz w:val="24"/>
              </w:rPr>
              <w:t>50T</w:t>
            </w:r>
            <w:r>
              <w:rPr>
                <w:rFonts w:ascii="Times New Roman" w:hAnsi="Times New Roman" w:cs="Times New Roman" w:hint="eastAsia"/>
                <w:sz w:val="24"/>
              </w:rPr>
              <w:t>）</w:t>
            </w:r>
          </w:p>
        </w:tc>
      </w:tr>
      <w:tr w:rsidR="00937254">
        <w:trPr>
          <w:trHeight w:hRule="exact" w:val="334"/>
        </w:trPr>
        <w:tc>
          <w:tcPr>
            <w:tcW w:w="2471" w:type="pct"/>
            <w:tcBorders>
              <w:left w:val="nil"/>
              <w:bottom w:val="nil"/>
              <w:right w:val="nil"/>
            </w:tcBorders>
            <w:vAlign w:val="center"/>
          </w:tcPr>
          <w:p w:rsidR="00937254" w:rsidRDefault="00653842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LightSpeed</w:t>
            </w:r>
            <w:r>
              <w:rPr>
                <w:rFonts w:ascii="Times New Roman" w:hAnsi="Times New Roman" w:cs="Times New Roman" w:hint="eastAsia"/>
                <w:sz w:val="24"/>
                <w:vertAlign w:val="superscript"/>
              </w:rPr>
              <w:t>TM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</w:rPr>
              <w:t>NotI</w:t>
            </w:r>
          </w:p>
        </w:tc>
        <w:tc>
          <w:tcPr>
            <w:tcW w:w="2528" w:type="pct"/>
            <w:tcBorders>
              <w:left w:val="nil"/>
              <w:bottom w:val="nil"/>
              <w:right w:val="nil"/>
            </w:tcBorders>
            <w:vAlign w:val="center"/>
          </w:tcPr>
          <w:p w:rsidR="00937254" w:rsidRDefault="0065384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50</w:t>
            </w:r>
            <w:r>
              <w:rPr>
                <w:rFonts w:ascii="Times New Roman" w:hAnsi="Times New Roman" w:cs="Times New Roman"/>
                <w:sz w:val="24"/>
              </w:rPr>
              <w:t>μL</w:t>
            </w:r>
          </w:p>
        </w:tc>
      </w:tr>
      <w:tr w:rsidR="00937254">
        <w:trPr>
          <w:trHeight w:hRule="exact" w:val="334"/>
        </w:trPr>
        <w:tc>
          <w:tcPr>
            <w:tcW w:w="24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7254" w:rsidRDefault="0065384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10×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</w:p>
        </w:tc>
        <w:tc>
          <w:tcPr>
            <w:tcW w:w="25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7254" w:rsidRDefault="0065384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mL</w:t>
            </w:r>
          </w:p>
        </w:tc>
      </w:tr>
      <w:tr w:rsidR="00937254">
        <w:trPr>
          <w:trHeight w:hRule="exact" w:val="334"/>
        </w:trPr>
        <w:tc>
          <w:tcPr>
            <w:tcW w:w="2471" w:type="pct"/>
            <w:tcBorders>
              <w:top w:val="nil"/>
              <w:left w:val="nil"/>
              <w:right w:val="nil"/>
            </w:tcBorders>
            <w:vAlign w:val="center"/>
          </w:tcPr>
          <w:p w:rsidR="00937254" w:rsidRDefault="0065384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10×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Color Buﬀer</w:t>
            </w:r>
          </w:p>
        </w:tc>
        <w:tc>
          <w:tcPr>
            <w:tcW w:w="2528" w:type="pct"/>
            <w:tcBorders>
              <w:top w:val="nil"/>
              <w:left w:val="nil"/>
              <w:right w:val="nil"/>
            </w:tcBorders>
            <w:vAlign w:val="center"/>
          </w:tcPr>
          <w:p w:rsidR="00937254" w:rsidRDefault="0065384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mL</w:t>
            </w:r>
          </w:p>
        </w:tc>
      </w:tr>
    </w:tbl>
    <w:p w:rsidR="00937254" w:rsidRDefault="00653842">
      <w:pPr>
        <w:widowControl/>
        <w:spacing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储存条件：</w:t>
      </w:r>
    </w:p>
    <w:p w:rsidR="00937254" w:rsidRDefault="00653842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  <w:lang w:bidi="ar"/>
        </w:rPr>
      </w:pPr>
      <w:r>
        <w:rPr>
          <w:rFonts w:ascii="Times New Roman" w:eastAsia="宋体" w:hAnsi="Times New Roman" w:cs="Times New Roman"/>
          <w:sz w:val="24"/>
          <w:lang w:bidi="ar"/>
        </w:rPr>
        <w:t>-20℃</w:t>
      </w:r>
      <w:r>
        <w:rPr>
          <w:rFonts w:ascii="Times New Roman" w:eastAsia="宋体" w:hAnsi="Times New Roman" w:cs="Times New Roman"/>
          <w:sz w:val="24"/>
          <w:lang w:bidi="ar"/>
        </w:rPr>
        <w:t>以下冷冻避光保存，有效期至少</w:t>
      </w:r>
      <w:r>
        <w:rPr>
          <w:rFonts w:ascii="Times New Roman" w:eastAsia="宋体" w:hAnsi="Times New Roman" w:cs="Times New Roman" w:hint="eastAsia"/>
          <w:sz w:val="24"/>
          <w:lang w:bidi="ar"/>
        </w:rPr>
        <w:t>24</w:t>
      </w:r>
      <w:r>
        <w:rPr>
          <w:rFonts w:ascii="Times New Roman" w:eastAsia="宋体" w:hAnsi="Times New Roman" w:cs="Times New Roman"/>
          <w:sz w:val="24"/>
          <w:lang w:bidi="ar"/>
        </w:rPr>
        <w:t>个月。</w:t>
      </w:r>
    </w:p>
    <w:p w:rsidR="00937254" w:rsidRDefault="00653842">
      <w:pPr>
        <w:widowControl/>
        <w:spacing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质量控制：</w:t>
      </w:r>
    </w:p>
    <w:p w:rsidR="00937254" w:rsidRDefault="00653842">
      <w:pPr>
        <w:spacing w:line="420" w:lineRule="exact"/>
        <w:ind w:firstLineChars="200" w:firstLine="48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功能活性检测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最适反应温度下，在</w:t>
      </w:r>
      <w:r>
        <w:rPr>
          <w:rFonts w:ascii="Times New Roman" w:hAnsi="Times New Roman" w:cs="Times New Roman"/>
          <w:sz w:val="24"/>
        </w:rPr>
        <w:t>20μ</w:t>
      </w:r>
      <w:r>
        <w:rPr>
          <w:rFonts w:ascii="Times New Roman" w:hAnsi="Times New Roman" w:cs="Times New Roman" w:hint="eastAsia"/>
          <w:sz w:val="24"/>
        </w:rPr>
        <w:t>L</w:t>
      </w:r>
      <w:r>
        <w:rPr>
          <w:rFonts w:ascii="Times New Roman" w:hAnsi="Times New Roman" w:cs="Times New Roman"/>
          <w:sz w:val="24"/>
        </w:rPr>
        <w:t>反应体系中，</w:t>
      </w:r>
      <w:r>
        <w:rPr>
          <w:rFonts w:ascii="Times New Roman" w:hAnsi="Times New Roman" w:cs="Times New Roman"/>
          <w:sz w:val="24"/>
        </w:rPr>
        <w:t>1μ</w:t>
      </w:r>
      <w:r>
        <w:rPr>
          <w:rFonts w:ascii="Times New Roman" w:hAnsi="Times New Roman" w:cs="Times New Roman" w:hint="eastAsia"/>
          <w:sz w:val="24"/>
        </w:rPr>
        <w:t>L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 w:hint="eastAsia"/>
          <w:sz w:val="24"/>
        </w:rPr>
        <w:t>LightSpeed</w:t>
      </w:r>
      <w:r>
        <w:rPr>
          <w:rFonts w:ascii="Times New Roman" w:hAnsi="Times New Roman" w:cs="Times New Roman" w:hint="eastAsia"/>
          <w:sz w:val="24"/>
          <w:vertAlign w:val="superscript"/>
        </w:rPr>
        <w:t>TM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 w:hint="eastAsia"/>
          <w:sz w:val="24"/>
        </w:rPr>
        <w:t>NotI</w:t>
      </w:r>
      <w:r>
        <w:rPr>
          <w:rFonts w:ascii="Times New Roman" w:hAnsi="Times New Roman" w:cs="Times New Roman"/>
          <w:sz w:val="24"/>
        </w:rPr>
        <w:t>能够在</w:t>
      </w:r>
      <w:r>
        <w:rPr>
          <w:rFonts w:ascii="Times New Roman" w:hAnsi="Times New Roman" w:cs="Times New Roman"/>
          <w:sz w:val="24"/>
        </w:rPr>
        <w:t>15</w:t>
      </w:r>
      <w:r>
        <w:rPr>
          <w:rFonts w:ascii="Times New Roman" w:hAnsi="Times New Roman" w:cs="Times New Roman" w:hint="eastAsia"/>
          <w:sz w:val="24"/>
        </w:rPr>
        <w:t>分钟</w:t>
      </w:r>
      <w:r>
        <w:rPr>
          <w:rFonts w:ascii="Times New Roman" w:hAnsi="Times New Roman" w:cs="Times New Roman"/>
          <w:sz w:val="24"/>
        </w:rPr>
        <w:t>内完全消化</w:t>
      </w:r>
      <w:r>
        <w:rPr>
          <w:rFonts w:ascii="Times New Roman" w:hAnsi="Times New Roman" w:cs="Times New Roman"/>
          <w:sz w:val="24"/>
        </w:rPr>
        <w:t>1μg N85 DNA</w:t>
      </w:r>
      <w:r>
        <w:rPr>
          <w:rFonts w:ascii="Times New Roman" w:hAnsi="Times New Roman" w:cs="Times New Roman"/>
          <w:sz w:val="24"/>
        </w:rPr>
        <w:t>。</w:t>
      </w:r>
    </w:p>
    <w:p w:rsidR="00937254" w:rsidRDefault="00653842">
      <w:pPr>
        <w:spacing w:line="420" w:lineRule="exact"/>
        <w:ind w:firstLineChars="200" w:firstLine="48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超长时间温育检测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最适反应温度下，将</w:t>
      </w:r>
      <w:r>
        <w:rPr>
          <w:rFonts w:ascii="Times New Roman" w:hAnsi="Times New Roman" w:cs="Times New Roman"/>
          <w:sz w:val="24"/>
        </w:rPr>
        <w:t>1μ</w:t>
      </w:r>
      <w:r>
        <w:rPr>
          <w:rFonts w:ascii="Times New Roman" w:hAnsi="Times New Roman" w:cs="Times New Roman" w:hint="eastAsia"/>
          <w:sz w:val="24"/>
        </w:rPr>
        <w:t>L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 w:hint="eastAsia"/>
          <w:sz w:val="24"/>
        </w:rPr>
        <w:t>LightSpeed</w:t>
      </w:r>
      <w:r>
        <w:rPr>
          <w:rFonts w:ascii="Times New Roman" w:hAnsi="Times New Roman" w:cs="Times New Roman" w:hint="eastAsia"/>
          <w:sz w:val="24"/>
          <w:vertAlign w:val="superscript"/>
        </w:rPr>
        <w:t>TM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 w:hint="eastAsia"/>
          <w:sz w:val="24"/>
        </w:rPr>
        <w:t>NotI</w:t>
      </w:r>
      <w:r>
        <w:rPr>
          <w:rFonts w:ascii="Times New Roman" w:hAnsi="Times New Roman" w:cs="Times New Roman"/>
          <w:sz w:val="24"/>
        </w:rPr>
        <w:t>与</w:t>
      </w:r>
      <w:r>
        <w:rPr>
          <w:rFonts w:ascii="Times New Roman" w:hAnsi="Times New Roman" w:cs="Times New Roman"/>
          <w:sz w:val="24"/>
        </w:rPr>
        <w:t>1μg N85 DNA</w:t>
      </w:r>
      <w:r>
        <w:rPr>
          <w:rFonts w:ascii="Times New Roman" w:hAnsi="Times New Roman" w:cs="Times New Roman"/>
          <w:sz w:val="24"/>
        </w:rPr>
        <w:t>共温育</w:t>
      </w:r>
      <w:r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 w:hint="eastAsia"/>
          <w:sz w:val="24"/>
        </w:rPr>
        <w:t>小时</w:t>
      </w:r>
      <w:r>
        <w:rPr>
          <w:rFonts w:ascii="Times New Roman" w:hAnsi="Times New Roman" w:cs="Times New Roman"/>
          <w:sz w:val="24"/>
        </w:rPr>
        <w:t>，未检测到其他核酸酶污染或星号活性引起的底物非特异性降解，延时酶切可能出现星号活性。</w:t>
      </w:r>
    </w:p>
    <w:p w:rsidR="00937254" w:rsidRDefault="00653842">
      <w:pPr>
        <w:spacing w:line="420" w:lineRule="exact"/>
        <w:ind w:firstLineChars="200" w:firstLine="48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酶切</w:t>
      </w:r>
      <w:r>
        <w:rPr>
          <w:rFonts w:ascii="Times New Roman" w:hAnsi="Times New Roman" w:cs="Times New Roman"/>
          <w:b/>
          <w:bCs/>
          <w:sz w:val="24"/>
        </w:rPr>
        <w:t>-</w:t>
      </w:r>
      <w:r>
        <w:rPr>
          <w:rFonts w:ascii="Times New Roman" w:hAnsi="Times New Roman" w:cs="Times New Roman"/>
          <w:b/>
          <w:bCs/>
          <w:sz w:val="24"/>
        </w:rPr>
        <w:t>连接</w:t>
      </w:r>
      <w:r>
        <w:rPr>
          <w:rFonts w:ascii="Times New Roman" w:hAnsi="Times New Roman" w:cs="Times New Roman"/>
          <w:b/>
          <w:bCs/>
          <w:sz w:val="24"/>
        </w:rPr>
        <w:t>-</w:t>
      </w:r>
      <w:r>
        <w:rPr>
          <w:rFonts w:ascii="Times New Roman" w:hAnsi="Times New Roman" w:cs="Times New Roman"/>
          <w:b/>
          <w:bCs/>
          <w:sz w:val="24"/>
        </w:rPr>
        <w:t>再酶切检测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最适反应温度下，使用</w:t>
      </w:r>
      <w:r>
        <w:rPr>
          <w:rFonts w:ascii="Times New Roman" w:hAnsi="Times New Roman" w:cs="Times New Roman"/>
          <w:sz w:val="24"/>
        </w:rPr>
        <w:t>1μ</w:t>
      </w:r>
      <w:r>
        <w:rPr>
          <w:rFonts w:ascii="Times New Roman" w:hAnsi="Times New Roman" w:cs="Times New Roman" w:hint="eastAsia"/>
          <w:sz w:val="24"/>
        </w:rPr>
        <w:t>L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 w:hint="eastAsia"/>
          <w:sz w:val="24"/>
        </w:rPr>
        <w:t>LightSpeed</w:t>
      </w:r>
      <w:r>
        <w:rPr>
          <w:rFonts w:ascii="Times New Roman" w:hAnsi="Times New Roman" w:cs="Times New Roman" w:hint="eastAsia"/>
          <w:sz w:val="24"/>
          <w:vertAlign w:val="superscript"/>
        </w:rPr>
        <w:t>TM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 w:hint="eastAsia"/>
          <w:sz w:val="24"/>
        </w:rPr>
        <w:t>NotI</w:t>
      </w:r>
      <w:r>
        <w:rPr>
          <w:rFonts w:ascii="Times New Roman" w:hAnsi="Times New Roman" w:cs="Times New Roman"/>
          <w:sz w:val="24"/>
        </w:rPr>
        <w:t>消化底物，回收酶切产物。在</w:t>
      </w:r>
      <w:r>
        <w:rPr>
          <w:rFonts w:ascii="Times New Roman" w:hAnsi="Times New Roman" w:cs="Times New Roman"/>
          <w:sz w:val="24"/>
        </w:rPr>
        <w:t>22℃</w:t>
      </w:r>
      <w:r>
        <w:rPr>
          <w:rFonts w:ascii="Times New Roman" w:hAnsi="Times New Roman" w:cs="Times New Roman"/>
          <w:sz w:val="24"/>
        </w:rPr>
        <w:t>下使用适量</w:t>
      </w:r>
      <w:r>
        <w:rPr>
          <w:rFonts w:ascii="Times New Roman" w:hAnsi="Times New Roman" w:cs="Times New Roman"/>
          <w:sz w:val="24"/>
        </w:rPr>
        <w:t>Fast T4 DNA Ligase</w:t>
      </w:r>
      <w:r>
        <w:rPr>
          <w:rFonts w:ascii="Times New Roman" w:hAnsi="Times New Roman" w:cs="Times New Roman"/>
          <w:sz w:val="24"/>
        </w:rPr>
        <w:t>可以将酶切产物重新连接。将连接产物再次回收后，使用相同的内切酶可以重新切开连接产物。</w:t>
      </w:r>
    </w:p>
    <w:p w:rsidR="00937254" w:rsidRDefault="00653842">
      <w:pPr>
        <w:spacing w:line="420" w:lineRule="exact"/>
        <w:ind w:firstLineChars="200" w:firstLine="48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非特异性内切酶活性检测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最适反应温度下，将</w:t>
      </w:r>
      <w:r>
        <w:rPr>
          <w:rFonts w:ascii="Times New Roman" w:hAnsi="Times New Roman" w:cs="Times New Roman"/>
          <w:sz w:val="24"/>
        </w:rPr>
        <w:t>1μ</w:t>
      </w:r>
      <w:r>
        <w:rPr>
          <w:rFonts w:ascii="Times New Roman" w:hAnsi="Times New Roman" w:cs="Times New Roman" w:hint="eastAsia"/>
          <w:sz w:val="24"/>
        </w:rPr>
        <w:t>L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 w:hint="eastAsia"/>
          <w:sz w:val="24"/>
        </w:rPr>
        <w:t>LightSpeed</w:t>
      </w:r>
      <w:r>
        <w:rPr>
          <w:rFonts w:ascii="Times New Roman" w:hAnsi="Times New Roman" w:cs="Times New Roman" w:hint="eastAsia"/>
          <w:sz w:val="24"/>
          <w:vertAlign w:val="superscript"/>
        </w:rPr>
        <w:t>TM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 w:hint="eastAsia"/>
          <w:sz w:val="24"/>
        </w:rPr>
        <w:t>NotI</w:t>
      </w:r>
      <w:r>
        <w:rPr>
          <w:rFonts w:ascii="Times New Roman" w:hAnsi="Times New Roman" w:cs="Times New Roman"/>
          <w:sz w:val="24"/>
        </w:rPr>
        <w:t>与</w:t>
      </w:r>
      <w:r>
        <w:rPr>
          <w:rFonts w:ascii="Times New Roman" w:hAnsi="Times New Roman" w:cs="Times New Roman"/>
          <w:sz w:val="24"/>
        </w:rPr>
        <w:t>1μg</w:t>
      </w:r>
      <w:r>
        <w:rPr>
          <w:rFonts w:ascii="Times New Roman" w:hAnsi="Times New Roman" w:cs="Times New Roman"/>
          <w:sz w:val="24"/>
        </w:rPr>
        <w:t>超螺旋质粒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共同温育</w:t>
      </w:r>
      <w:r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 w:hint="eastAsia"/>
          <w:sz w:val="24"/>
        </w:rPr>
        <w:t>小时</w:t>
      </w:r>
      <w:r>
        <w:rPr>
          <w:rFonts w:ascii="Times New Roman" w:hAnsi="Times New Roman" w:cs="Times New Roman"/>
          <w:sz w:val="24"/>
        </w:rPr>
        <w:t>，使用琼脂糖凝胶电泳检测，质粒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仍然处于超螺旋状态。</w:t>
      </w:r>
    </w:p>
    <w:p w:rsidR="00937254" w:rsidRDefault="00653842">
      <w:pPr>
        <w:spacing w:line="420" w:lineRule="exact"/>
        <w:ind w:firstLineChars="200" w:firstLine="482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蓝白斑检测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将含有单一</w:t>
      </w:r>
      <w:r>
        <w:rPr>
          <w:rFonts w:ascii="Times New Roman" w:hAnsi="Times New Roman" w:cs="Times New Roman"/>
          <w:i/>
          <w:iCs/>
          <w:sz w:val="24"/>
        </w:rPr>
        <w:t>lacZα</w:t>
      </w:r>
      <w:r>
        <w:rPr>
          <w:rFonts w:ascii="Times New Roman" w:hAnsi="Times New Roman" w:cs="Times New Roman"/>
          <w:sz w:val="24"/>
        </w:rPr>
        <w:t>基因的载体以</w:t>
      </w:r>
      <w:r>
        <w:rPr>
          <w:rFonts w:ascii="Times New Roman" w:hAnsi="Times New Roman" w:cs="Times New Roman"/>
          <w:sz w:val="24"/>
        </w:rPr>
        <w:t>1μ</w:t>
      </w:r>
      <w:r>
        <w:rPr>
          <w:rFonts w:ascii="Times New Roman" w:hAnsi="Times New Roman" w:cs="Times New Roman" w:hint="eastAsia"/>
          <w:sz w:val="24"/>
        </w:rPr>
        <w:t>L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 w:hint="eastAsia"/>
          <w:sz w:val="24"/>
        </w:rPr>
        <w:t>LightSpeed</w:t>
      </w:r>
      <w:r>
        <w:rPr>
          <w:rFonts w:ascii="Times New Roman" w:hAnsi="Times New Roman" w:cs="Times New Roman" w:hint="eastAsia"/>
          <w:sz w:val="24"/>
          <w:vertAlign w:val="superscript"/>
        </w:rPr>
        <w:t>TM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 w:hint="eastAsia"/>
          <w:sz w:val="24"/>
        </w:rPr>
        <w:t>NotI</w:t>
      </w:r>
      <w:r>
        <w:rPr>
          <w:rFonts w:ascii="Times New Roman" w:hAnsi="Times New Roman" w:cs="Times New Roman"/>
          <w:sz w:val="24"/>
        </w:rPr>
        <w:t>消化，重新连接后转化入大肠杆菌感受态细胞，涂布在含有对应抗生素、</w:t>
      </w:r>
      <w:r>
        <w:rPr>
          <w:rFonts w:ascii="Times New Roman" w:hAnsi="Times New Roman" w:cs="Times New Roman"/>
          <w:sz w:val="24"/>
        </w:rPr>
        <w:t>IPTG</w:t>
      </w:r>
      <w:r>
        <w:rPr>
          <w:rFonts w:ascii="Times New Roman" w:hAnsi="Times New Roman" w:cs="Times New Roman"/>
          <w:sz w:val="24"/>
        </w:rPr>
        <w:t>和</w:t>
      </w:r>
      <w:r>
        <w:rPr>
          <w:rFonts w:ascii="Times New Roman" w:hAnsi="Times New Roman" w:cs="Times New Roman"/>
          <w:sz w:val="24"/>
        </w:rPr>
        <w:t>X-gal</w:t>
      </w:r>
      <w:r>
        <w:rPr>
          <w:rFonts w:ascii="Times New Roman" w:hAnsi="Times New Roman" w:cs="Times New Roman"/>
          <w:sz w:val="24"/>
        </w:rPr>
        <w:t>的</w:t>
      </w:r>
      <w:r>
        <w:rPr>
          <w:rFonts w:ascii="Times New Roman" w:hAnsi="Times New Roman" w:cs="Times New Roman"/>
          <w:sz w:val="24"/>
        </w:rPr>
        <w:t>LB</w:t>
      </w:r>
      <w:r>
        <w:rPr>
          <w:rFonts w:ascii="Times New Roman" w:hAnsi="Times New Roman" w:cs="Times New Roman"/>
          <w:sz w:val="24"/>
        </w:rPr>
        <w:t>培养基平板上。连接正确的产物会生长出蓝色菌落，而连接错误（即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末端切口不完整）的产物将得到白色菌落。对于</w:t>
      </w:r>
      <w:r>
        <w:rPr>
          <w:rFonts w:ascii="Times New Roman" w:hAnsi="Times New Roman" w:cs="Times New Roman" w:hint="eastAsia"/>
          <w:sz w:val="24"/>
        </w:rPr>
        <w:t>LightSpeed</w:t>
      </w:r>
      <w:r>
        <w:rPr>
          <w:rFonts w:ascii="Times New Roman" w:hAnsi="Times New Roman" w:cs="Times New Roman" w:hint="eastAsia"/>
          <w:sz w:val="24"/>
          <w:vertAlign w:val="superscript"/>
        </w:rPr>
        <w:t>TM</w:t>
      </w:r>
      <w:r>
        <w:rPr>
          <w:rFonts w:ascii="Times New Roman" w:hAnsi="Times New Roman" w:cs="Times New Roman"/>
          <w:sz w:val="24"/>
        </w:rPr>
        <w:t>限制酶而言，白色菌落比例应小于</w:t>
      </w:r>
      <w:r>
        <w:rPr>
          <w:rFonts w:ascii="Times New Roman" w:hAnsi="Times New Roman" w:cs="Times New Roman"/>
          <w:sz w:val="24"/>
        </w:rPr>
        <w:t>1%</w:t>
      </w:r>
      <w:r>
        <w:rPr>
          <w:rFonts w:ascii="Times New Roman" w:hAnsi="Times New Roman" w:cs="Times New Roman"/>
          <w:sz w:val="24"/>
        </w:rPr>
        <w:t>。</w:t>
      </w:r>
    </w:p>
    <w:p w:rsidR="00937254" w:rsidRDefault="00653842">
      <w:pPr>
        <w:widowControl/>
        <w:spacing w:line="42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使用方法：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937254" w:rsidRDefault="00653842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DNA</w:t>
      </w:r>
      <w:r>
        <w:rPr>
          <w:rFonts w:ascii="Times New Roman" w:hAnsi="Times New Roman" w:cs="Times New Roman"/>
          <w:b/>
          <w:bCs/>
          <w:spacing w:val="-4"/>
          <w:sz w:val="24"/>
        </w:rPr>
        <w:t>快速酶切流程</w:t>
      </w:r>
    </w:p>
    <w:p w:rsidR="00937254" w:rsidRDefault="00653842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①</w:t>
      </w:r>
      <w:r>
        <w:rPr>
          <w:rFonts w:ascii="Times New Roman" w:hAnsi="Times New Roman" w:cs="Times New Roman"/>
          <w:spacing w:val="-2"/>
          <w:sz w:val="24"/>
        </w:rPr>
        <w:t>在冰上按如下建议的加样顺序配制反应体系：</w:t>
      </w:r>
    </w:p>
    <w:tbl>
      <w:tblPr>
        <w:tblStyle w:val="TableNormal"/>
        <w:tblW w:w="4996" w:type="pct"/>
        <w:tblInd w:w="0" w:type="dxa"/>
        <w:tblBorders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  <w:insideH w:val="none" w:sz="2" w:space="0" w:color="000000"/>
          <w:insideV w:val="none" w:sz="2" w:space="0" w:color="000000"/>
        </w:tblBorders>
        <w:tblLook w:val="04A0" w:firstRow="1" w:lastRow="0" w:firstColumn="1" w:lastColumn="0" w:noHBand="0" w:noVBand="1"/>
      </w:tblPr>
      <w:tblGrid>
        <w:gridCol w:w="4070"/>
        <w:gridCol w:w="1890"/>
        <w:gridCol w:w="1889"/>
        <w:gridCol w:w="1889"/>
      </w:tblGrid>
      <w:tr w:rsidR="00937254">
        <w:trPr>
          <w:trHeight w:val="334"/>
        </w:trPr>
        <w:tc>
          <w:tcPr>
            <w:tcW w:w="2089" w:type="pct"/>
            <w:tcBorders>
              <w:top w:val="single" w:sz="2" w:space="0" w:color="3E3E3F"/>
              <w:bottom w:val="single" w:sz="2" w:space="0" w:color="3E3E3F"/>
            </w:tcBorders>
          </w:tcPr>
          <w:p w:rsidR="00937254" w:rsidRDefault="0093725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0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937254" w:rsidRDefault="0065384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</w:rPr>
              <w:t>质粒</w:t>
            </w:r>
            <w:r>
              <w:rPr>
                <w:rFonts w:ascii="Times New Roman" w:hAnsi="Times New Roman" w:cs="Times New Roman"/>
                <w:spacing w:val="-3"/>
                <w:sz w:val="24"/>
              </w:rPr>
              <w:t>DNA</w:t>
            </w:r>
          </w:p>
        </w:tc>
        <w:tc>
          <w:tcPr>
            <w:tcW w:w="970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937254" w:rsidRDefault="0065384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</w:rPr>
              <w:t>PCR</w:t>
            </w:r>
            <w:r>
              <w:rPr>
                <w:rFonts w:ascii="Times New Roman" w:hAnsi="Times New Roman" w:cs="Times New Roman"/>
                <w:spacing w:val="-3"/>
                <w:sz w:val="24"/>
              </w:rPr>
              <w:t>产物</w:t>
            </w:r>
          </w:p>
        </w:tc>
        <w:tc>
          <w:tcPr>
            <w:tcW w:w="970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937254" w:rsidRDefault="0065384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</w:rPr>
              <w:t>基因组</w:t>
            </w:r>
            <w:r>
              <w:rPr>
                <w:rFonts w:ascii="Times New Roman" w:hAnsi="Times New Roman" w:cs="Times New Roman"/>
                <w:spacing w:val="-3"/>
                <w:sz w:val="24"/>
              </w:rPr>
              <w:t>DNA</w:t>
            </w:r>
          </w:p>
        </w:tc>
      </w:tr>
      <w:tr w:rsidR="00937254">
        <w:trPr>
          <w:trHeight w:val="334"/>
        </w:trPr>
        <w:tc>
          <w:tcPr>
            <w:tcW w:w="2089" w:type="pct"/>
            <w:tcBorders>
              <w:top w:val="single" w:sz="2" w:space="0" w:color="3E3E3F"/>
              <w:bottom w:val="nil"/>
            </w:tcBorders>
          </w:tcPr>
          <w:p w:rsidR="00937254" w:rsidRDefault="0065384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ddH</w:t>
            </w:r>
            <w:r>
              <w:rPr>
                <w:rFonts w:ascii="Times New Roman" w:hAnsi="Times New Roman" w:cs="Times New Roman"/>
                <w:spacing w:val="-1"/>
                <w:position w:val="-2"/>
                <w:sz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O</w:t>
            </w:r>
          </w:p>
        </w:tc>
        <w:tc>
          <w:tcPr>
            <w:tcW w:w="970" w:type="pct"/>
            <w:tcBorders>
              <w:top w:val="single" w:sz="2" w:space="0" w:color="3E3E3F"/>
              <w:bottom w:val="nil"/>
            </w:tcBorders>
            <w:vAlign w:val="center"/>
          </w:tcPr>
          <w:p w:rsidR="00937254" w:rsidRDefault="00653842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15μL</w:t>
            </w:r>
          </w:p>
        </w:tc>
        <w:tc>
          <w:tcPr>
            <w:tcW w:w="970" w:type="pct"/>
            <w:tcBorders>
              <w:top w:val="single" w:sz="2" w:space="0" w:color="3E3E3F"/>
              <w:bottom w:val="nil"/>
            </w:tcBorders>
            <w:vAlign w:val="center"/>
          </w:tcPr>
          <w:p w:rsidR="00937254" w:rsidRDefault="00653842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16μL</w:t>
            </w:r>
          </w:p>
        </w:tc>
        <w:tc>
          <w:tcPr>
            <w:tcW w:w="970" w:type="pct"/>
            <w:tcBorders>
              <w:top w:val="single" w:sz="2" w:space="0" w:color="3E3E3F"/>
              <w:bottom w:val="nil"/>
            </w:tcBorders>
            <w:vAlign w:val="center"/>
          </w:tcPr>
          <w:p w:rsidR="00937254" w:rsidRDefault="00653842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30μL</w:t>
            </w:r>
          </w:p>
        </w:tc>
      </w:tr>
      <w:tr w:rsidR="00937254">
        <w:trPr>
          <w:trHeight w:val="334"/>
        </w:trPr>
        <w:tc>
          <w:tcPr>
            <w:tcW w:w="2089" w:type="pct"/>
            <w:tcBorders>
              <w:top w:val="nil"/>
              <w:bottom w:val="nil"/>
            </w:tcBorders>
          </w:tcPr>
          <w:p w:rsidR="00937254" w:rsidRDefault="00653842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10×</w:t>
            </w:r>
            <w:r>
              <w:rPr>
                <w:rFonts w:ascii="Times New Roman" w:hAnsi="Times New Roman" w:cs="Times New Roman" w:hint="eastAsia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pacing w:val="-1"/>
                <w:sz w:val="24"/>
              </w:rPr>
              <w:t>EZ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Buﬀer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或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10×</w:t>
            </w:r>
            <w:r>
              <w:rPr>
                <w:rFonts w:ascii="Times New Roman" w:hAnsi="Times New Roman" w:cs="Times New Roman" w:hint="eastAsia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pacing w:val="-1"/>
                <w:sz w:val="24"/>
              </w:rPr>
              <w:t>EZ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Color Buﬀer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937254" w:rsidRDefault="00653842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2μL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937254" w:rsidRDefault="00653842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3μL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937254" w:rsidRDefault="00653842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5μL</w:t>
            </w:r>
          </w:p>
        </w:tc>
      </w:tr>
      <w:tr w:rsidR="00937254">
        <w:trPr>
          <w:trHeight w:val="334"/>
        </w:trPr>
        <w:tc>
          <w:tcPr>
            <w:tcW w:w="2089" w:type="pct"/>
            <w:tcBorders>
              <w:top w:val="nil"/>
              <w:bottom w:val="nil"/>
            </w:tcBorders>
          </w:tcPr>
          <w:p w:rsidR="00937254" w:rsidRDefault="00653842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底物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DNA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937254" w:rsidRDefault="00653842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2μL (up to 1μg)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937254" w:rsidRDefault="00653842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10μL (~0.2μg)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937254" w:rsidRDefault="00653842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10μL</w:t>
            </w:r>
            <w:r>
              <w:rPr>
                <w:rFonts w:ascii="Times New Roman" w:hAnsi="Times New Roman" w:cs="Times New Roman" w:hint="eastAsia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(5μg)</w:t>
            </w:r>
          </w:p>
        </w:tc>
      </w:tr>
      <w:tr w:rsidR="00937254">
        <w:trPr>
          <w:trHeight w:val="334"/>
        </w:trPr>
        <w:tc>
          <w:tcPr>
            <w:tcW w:w="2089" w:type="pct"/>
            <w:tcBorders>
              <w:top w:val="nil"/>
              <w:bottom w:val="nil"/>
            </w:tcBorders>
          </w:tcPr>
          <w:p w:rsidR="00937254" w:rsidRDefault="00653842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LightSpeed</w:t>
            </w:r>
            <w:r>
              <w:rPr>
                <w:rFonts w:ascii="Times New Roman" w:hAnsi="Times New Roman" w:cs="Times New Roman" w:hint="eastAsia"/>
                <w:sz w:val="24"/>
                <w:vertAlign w:val="superscript"/>
              </w:rPr>
              <w:t>TM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pacing w:val="-1"/>
                <w:sz w:val="24"/>
              </w:rPr>
              <w:t>NotI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937254" w:rsidRDefault="00653842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1μL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937254" w:rsidRDefault="00653842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1μL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937254" w:rsidRDefault="00653842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 w:hint="eastAsia"/>
                <w:spacing w:val="-1"/>
                <w:sz w:val="24"/>
              </w:rPr>
              <w:t>5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</w:tr>
      <w:tr w:rsidR="00937254">
        <w:trPr>
          <w:trHeight w:val="334"/>
        </w:trPr>
        <w:tc>
          <w:tcPr>
            <w:tcW w:w="2089" w:type="pct"/>
            <w:tcBorders>
              <w:top w:val="nil"/>
              <w:bottom w:val="single" w:sz="2" w:space="0" w:color="3E3E3F"/>
            </w:tcBorders>
          </w:tcPr>
          <w:p w:rsidR="00937254" w:rsidRDefault="00653842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Total</w:t>
            </w:r>
          </w:p>
        </w:tc>
        <w:tc>
          <w:tcPr>
            <w:tcW w:w="970" w:type="pct"/>
            <w:tcBorders>
              <w:top w:val="nil"/>
              <w:bottom w:val="single" w:sz="2" w:space="0" w:color="3E3E3F"/>
            </w:tcBorders>
            <w:vAlign w:val="center"/>
          </w:tcPr>
          <w:p w:rsidR="00937254" w:rsidRDefault="00653842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20μL</w:t>
            </w:r>
          </w:p>
        </w:tc>
        <w:tc>
          <w:tcPr>
            <w:tcW w:w="970" w:type="pct"/>
            <w:tcBorders>
              <w:top w:val="nil"/>
              <w:bottom w:val="single" w:sz="2" w:space="0" w:color="3E3E3F"/>
            </w:tcBorders>
            <w:vAlign w:val="center"/>
          </w:tcPr>
          <w:p w:rsidR="00937254" w:rsidRDefault="00653842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30μL</w:t>
            </w:r>
          </w:p>
        </w:tc>
        <w:tc>
          <w:tcPr>
            <w:tcW w:w="970" w:type="pct"/>
            <w:tcBorders>
              <w:top w:val="nil"/>
              <w:bottom w:val="single" w:sz="2" w:space="0" w:color="3E3E3F"/>
            </w:tcBorders>
            <w:vAlign w:val="center"/>
          </w:tcPr>
          <w:p w:rsidR="00937254" w:rsidRDefault="00653842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 w:hint="eastAsia"/>
                <w:spacing w:val="-1"/>
                <w:sz w:val="24"/>
              </w:rPr>
              <w:t>5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0μL</w:t>
            </w:r>
          </w:p>
        </w:tc>
      </w:tr>
    </w:tbl>
    <w:p w:rsidR="00937254" w:rsidRDefault="00653842">
      <w:pPr>
        <w:spacing w:line="240" w:lineRule="atLeast"/>
        <w:rPr>
          <w:rFonts w:ascii="Times New Roman" w:hAnsi="Times New Roman" w:cs="Times New Roman"/>
          <w:spacing w:val="-2"/>
          <w:szCs w:val="21"/>
        </w:rPr>
      </w:pPr>
      <w:r>
        <w:rPr>
          <w:rFonts w:ascii="Times New Roman" w:hAnsi="Times New Roman" w:cs="Times New Roman"/>
          <w:spacing w:val="-2"/>
          <w:szCs w:val="21"/>
        </w:rPr>
        <w:t>注：本体系适用于经过纯化的</w:t>
      </w:r>
      <w:r>
        <w:rPr>
          <w:rFonts w:ascii="Times New Roman" w:hAnsi="Times New Roman" w:cs="Times New Roman"/>
          <w:spacing w:val="-2"/>
          <w:szCs w:val="21"/>
        </w:rPr>
        <w:t>PCR</w:t>
      </w:r>
      <w:r>
        <w:rPr>
          <w:rFonts w:ascii="Times New Roman" w:hAnsi="Times New Roman" w:cs="Times New Roman"/>
          <w:spacing w:val="-2"/>
          <w:szCs w:val="21"/>
        </w:rPr>
        <w:t>产物酶切。未纯化的</w:t>
      </w:r>
      <w:r>
        <w:rPr>
          <w:rFonts w:ascii="Times New Roman" w:hAnsi="Times New Roman" w:cs="Times New Roman"/>
          <w:spacing w:val="-2"/>
          <w:szCs w:val="21"/>
        </w:rPr>
        <w:t>PCR</w:t>
      </w:r>
      <w:r>
        <w:rPr>
          <w:rFonts w:ascii="Times New Roman" w:hAnsi="Times New Roman" w:cs="Times New Roman"/>
          <w:spacing w:val="-2"/>
          <w:szCs w:val="21"/>
        </w:rPr>
        <w:t>产物具备一定的离子强度，</w:t>
      </w:r>
      <w:r>
        <w:rPr>
          <w:rFonts w:ascii="Times New Roman" w:hAnsi="Times New Roman" w:cs="Times New Roman"/>
          <w:spacing w:val="-2"/>
          <w:szCs w:val="21"/>
        </w:rPr>
        <w:t>10×</w:t>
      </w:r>
      <w:r>
        <w:rPr>
          <w:rFonts w:ascii="Times New Roman" w:hAnsi="Times New Roman" w:cs="Times New Roman" w:hint="eastAsia"/>
          <w:spacing w:val="-2"/>
          <w:szCs w:val="21"/>
        </w:rPr>
        <w:t xml:space="preserve"> EZ </w:t>
      </w:r>
      <w:r>
        <w:rPr>
          <w:rFonts w:ascii="Times New Roman" w:hAnsi="Times New Roman" w:cs="Times New Roman"/>
          <w:spacing w:val="-2"/>
          <w:szCs w:val="21"/>
        </w:rPr>
        <w:t>Buffer</w:t>
      </w:r>
      <w:r>
        <w:rPr>
          <w:rFonts w:ascii="Times New Roman" w:hAnsi="Times New Roman" w:cs="Times New Roman"/>
          <w:spacing w:val="-2"/>
          <w:szCs w:val="21"/>
        </w:rPr>
        <w:t>加入量可适当减少至</w:t>
      </w:r>
      <w:r>
        <w:rPr>
          <w:rFonts w:ascii="Times New Roman" w:hAnsi="Times New Roman" w:cs="Times New Roman"/>
          <w:spacing w:val="-2"/>
          <w:szCs w:val="21"/>
        </w:rPr>
        <w:t>2μL</w:t>
      </w:r>
      <w:r>
        <w:rPr>
          <w:rFonts w:ascii="Times New Roman" w:hAnsi="Times New Roman" w:cs="Times New Roman"/>
          <w:spacing w:val="-2"/>
          <w:szCs w:val="21"/>
        </w:rPr>
        <w:t>。但由于</w:t>
      </w:r>
      <w:r>
        <w:rPr>
          <w:rFonts w:ascii="Times New Roman" w:hAnsi="Times New Roman" w:cs="Times New Roman"/>
          <w:spacing w:val="-2"/>
          <w:szCs w:val="21"/>
        </w:rPr>
        <w:t>DNA</w:t>
      </w:r>
      <w:r>
        <w:rPr>
          <w:rFonts w:ascii="Times New Roman" w:hAnsi="Times New Roman" w:cs="Times New Roman"/>
          <w:spacing w:val="-2"/>
          <w:szCs w:val="21"/>
        </w:rPr>
        <w:t>聚合酶同时具有外切酶活性，会影响酶切产物，因此如下一步需进行克隆等操作，建议酶切前对</w:t>
      </w:r>
      <w:r>
        <w:rPr>
          <w:rFonts w:ascii="Times New Roman" w:hAnsi="Times New Roman" w:cs="Times New Roman"/>
          <w:spacing w:val="-2"/>
          <w:szCs w:val="21"/>
        </w:rPr>
        <w:t>PCR</w:t>
      </w:r>
      <w:r>
        <w:rPr>
          <w:rFonts w:ascii="Times New Roman" w:hAnsi="Times New Roman" w:cs="Times New Roman"/>
          <w:spacing w:val="-2"/>
          <w:szCs w:val="21"/>
        </w:rPr>
        <w:t>产物进行纯化。</w:t>
      </w:r>
    </w:p>
    <w:p w:rsidR="00937254" w:rsidRDefault="00653842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②</w:t>
      </w:r>
      <w:r>
        <w:rPr>
          <w:rFonts w:ascii="Times New Roman" w:hAnsi="Times New Roman" w:cs="Times New Roman"/>
          <w:spacing w:val="-2"/>
          <w:sz w:val="24"/>
        </w:rPr>
        <w:t>轻柔吸打或轻弹管壁以混匀（切勿涡旋），然后瞬时离心以收集挂壁液滴</w:t>
      </w:r>
      <w:r>
        <w:rPr>
          <w:rFonts w:ascii="Times New Roman" w:hAnsi="Times New Roman" w:cs="Times New Roman" w:hint="eastAsia"/>
          <w:spacing w:val="-2"/>
          <w:sz w:val="24"/>
        </w:rPr>
        <w:t>；</w:t>
      </w:r>
    </w:p>
    <w:p w:rsidR="00937254" w:rsidRDefault="00653842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③37℃</w:t>
      </w:r>
      <w:r>
        <w:rPr>
          <w:rFonts w:ascii="Times New Roman" w:hAnsi="Times New Roman" w:cs="Times New Roman"/>
          <w:spacing w:val="-2"/>
          <w:sz w:val="24"/>
        </w:rPr>
        <w:t>温育</w:t>
      </w:r>
      <w:r>
        <w:rPr>
          <w:rFonts w:ascii="Times New Roman" w:hAnsi="Times New Roman" w:cs="Times New Roman"/>
          <w:spacing w:val="-2"/>
          <w:sz w:val="24"/>
        </w:rPr>
        <w:t>15</w:t>
      </w:r>
      <w:r>
        <w:rPr>
          <w:rFonts w:ascii="Times New Roman" w:hAnsi="Times New Roman" w:cs="Times New Roman"/>
          <w:spacing w:val="-2"/>
          <w:sz w:val="24"/>
        </w:rPr>
        <w:t>分钟（质粒），或</w:t>
      </w:r>
      <w:r>
        <w:rPr>
          <w:rFonts w:ascii="Times New Roman" w:hAnsi="Times New Roman" w:cs="Times New Roman"/>
          <w:spacing w:val="-2"/>
          <w:sz w:val="24"/>
        </w:rPr>
        <w:t>15~30</w:t>
      </w:r>
      <w:r>
        <w:rPr>
          <w:rFonts w:ascii="Times New Roman" w:hAnsi="Times New Roman" w:cs="Times New Roman"/>
          <w:spacing w:val="-2"/>
          <w:sz w:val="24"/>
        </w:rPr>
        <w:t>分钟（</w:t>
      </w:r>
      <w:r>
        <w:rPr>
          <w:rFonts w:ascii="Times New Roman" w:hAnsi="Times New Roman" w:cs="Times New Roman"/>
          <w:spacing w:val="-2"/>
          <w:sz w:val="24"/>
        </w:rPr>
        <w:t>PCR</w:t>
      </w:r>
      <w:r>
        <w:rPr>
          <w:rFonts w:ascii="Times New Roman" w:hAnsi="Times New Roman" w:cs="Times New Roman"/>
          <w:spacing w:val="-2"/>
          <w:sz w:val="24"/>
        </w:rPr>
        <w:t>产物），或</w:t>
      </w:r>
      <w:r>
        <w:rPr>
          <w:rFonts w:ascii="Times New Roman" w:hAnsi="Times New Roman" w:cs="Times New Roman"/>
          <w:spacing w:val="-2"/>
          <w:sz w:val="24"/>
        </w:rPr>
        <w:t>30~60</w:t>
      </w:r>
      <w:r>
        <w:rPr>
          <w:rFonts w:ascii="Times New Roman" w:hAnsi="Times New Roman" w:cs="Times New Roman"/>
          <w:spacing w:val="-2"/>
          <w:sz w:val="24"/>
        </w:rPr>
        <w:t>分钟（基因组</w:t>
      </w:r>
      <w:r>
        <w:rPr>
          <w:rFonts w:ascii="Times New Roman" w:hAnsi="Times New Roman" w:cs="Times New Roman"/>
          <w:spacing w:val="-2"/>
          <w:sz w:val="24"/>
        </w:rPr>
        <w:t>DNA</w:t>
      </w:r>
      <w:r>
        <w:rPr>
          <w:rFonts w:ascii="Times New Roman" w:hAnsi="Times New Roman" w:cs="Times New Roman"/>
          <w:spacing w:val="-2"/>
          <w:sz w:val="24"/>
        </w:rPr>
        <w:t>）；</w:t>
      </w:r>
    </w:p>
    <w:p w:rsidR="00937254" w:rsidRDefault="00653842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④80℃</w:t>
      </w:r>
      <w:r>
        <w:rPr>
          <w:rFonts w:ascii="Times New Roman" w:hAnsi="Times New Roman" w:cs="Times New Roman"/>
          <w:spacing w:val="-2"/>
          <w:sz w:val="24"/>
        </w:rPr>
        <w:t>温育</w:t>
      </w:r>
      <w:r>
        <w:rPr>
          <w:rFonts w:ascii="Times New Roman" w:hAnsi="Times New Roman" w:cs="Times New Roman"/>
          <w:spacing w:val="-2"/>
          <w:sz w:val="24"/>
        </w:rPr>
        <w:t>20</w:t>
      </w:r>
      <w:r>
        <w:rPr>
          <w:rFonts w:ascii="Times New Roman" w:hAnsi="Times New Roman" w:cs="Times New Roman"/>
          <w:spacing w:val="-2"/>
          <w:sz w:val="24"/>
        </w:rPr>
        <w:t>分钟即可使酶失活，停止反应（可选）。</w:t>
      </w:r>
    </w:p>
    <w:p w:rsidR="00937254" w:rsidRDefault="00653842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双酶切或多酶切</w:t>
      </w:r>
    </w:p>
    <w:p w:rsidR="00937254" w:rsidRDefault="00653842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①</w:t>
      </w:r>
      <w:r>
        <w:rPr>
          <w:rFonts w:ascii="Times New Roman" w:hAnsi="Times New Roman" w:cs="Times New Roman"/>
          <w:spacing w:val="-2"/>
          <w:sz w:val="24"/>
        </w:rPr>
        <w:t>每种快速内切酶的用量为</w:t>
      </w:r>
      <w:r>
        <w:rPr>
          <w:rFonts w:ascii="Times New Roman" w:hAnsi="Times New Roman" w:cs="Times New Roman"/>
          <w:spacing w:val="-2"/>
          <w:sz w:val="24"/>
        </w:rPr>
        <w:t>1μL</w:t>
      </w:r>
      <w:r>
        <w:rPr>
          <w:rFonts w:ascii="Times New Roman" w:hAnsi="Times New Roman" w:cs="Times New Roman"/>
          <w:spacing w:val="-2"/>
          <w:sz w:val="24"/>
        </w:rPr>
        <w:t>，并根据需要适当扩大反应体系；</w:t>
      </w:r>
    </w:p>
    <w:p w:rsidR="00937254" w:rsidRDefault="00653842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②</w:t>
      </w:r>
      <w:r>
        <w:rPr>
          <w:rFonts w:ascii="Times New Roman" w:hAnsi="Times New Roman" w:cs="Times New Roman"/>
          <w:spacing w:val="-2"/>
          <w:sz w:val="24"/>
        </w:rPr>
        <w:t>所有快速内切酶的体积总和不得超过总反应体系的</w:t>
      </w:r>
      <w:r>
        <w:rPr>
          <w:rFonts w:ascii="Times New Roman" w:hAnsi="Times New Roman" w:cs="Times New Roman"/>
          <w:spacing w:val="-2"/>
          <w:sz w:val="24"/>
        </w:rPr>
        <w:t>1/10</w:t>
      </w:r>
      <w:r>
        <w:rPr>
          <w:rFonts w:ascii="Times New Roman" w:hAnsi="Times New Roman" w:cs="Times New Roman"/>
          <w:spacing w:val="-2"/>
          <w:sz w:val="24"/>
        </w:rPr>
        <w:t>；</w:t>
      </w:r>
    </w:p>
    <w:p w:rsidR="00937254" w:rsidRDefault="00653842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③</w:t>
      </w:r>
      <w:r>
        <w:rPr>
          <w:rFonts w:ascii="Times New Roman" w:hAnsi="Times New Roman" w:cs="Times New Roman"/>
          <w:spacing w:val="-2"/>
          <w:sz w:val="24"/>
        </w:rPr>
        <w:t>如果所用的几种快速内切酶的最适反应温度不同，应先以最适温度低的酶开始酶切，再添加最适温度较高的酶，在其最适反应温度下进行酶切反应。</w:t>
      </w:r>
    </w:p>
    <w:p w:rsidR="00937254" w:rsidRDefault="00653842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适用于质粒的扩大反应体系</w:t>
      </w:r>
    </w:p>
    <w:tbl>
      <w:tblPr>
        <w:tblStyle w:val="TableNormal"/>
        <w:tblW w:w="4996" w:type="pct"/>
        <w:tblInd w:w="0" w:type="dxa"/>
        <w:tblBorders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  <w:insideH w:val="none" w:sz="2" w:space="0" w:color="000000"/>
          <w:insideV w:val="none" w:sz="2" w:space="0" w:color="000000"/>
        </w:tblBorders>
        <w:tblLook w:val="04A0" w:firstRow="1" w:lastRow="0" w:firstColumn="1" w:lastColumn="0" w:noHBand="0" w:noVBand="1"/>
      </w:tblPr>
      <w:tblGrid>
        <w:gridCol w:w="4085"/>
        <w:gridCol w:w="1131"/>
        <w:gridCol w:w="1130"/>
        <w:gridCol w:w="1130"/>
        <w:gridCol w:w="1130"/>
        <w:gridCol w:w="1132"/>
      </w:tblGrid>
      <w:tr w:rsidR="00937254">
        <w:trPr>
          <w:trHeight w:val="334"/>
        </w:trPr>
        <w:tc>
          <w:tcPr>
            <w:tcW w:w="2095" w:type="pct"/>
            <w:tcBorders>
              <w:top w:val="single" w:sz="2" w:space="0" w:color="3E3E3F"/>
              <w:bottom w:val="nil"/>
            </w:tcBorders>
          </w:tcPr>
          <w:p w:rsidR="00937254" w:rsidRDefault="0065384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DNA</w:t>
            </w:r>
          </w:p>
        </w:tc>
        <w:tc>
          <w:tcPr>
            <w:tcW w:w="580" w:type="pct"/>
            <w:tcBorders>
              <w:top w:val="single" w:sz="2" w:space="0" w:color="3E3E3F"/>
              <w:bottom w:val="nil"/>
            </w:tcBorders>
            <w:vAlign w:val="center"/>
          </w:tcPr>
          <w:p w:rsidR="00937254" w:rsidRDefault="00653842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1μg</w:t>
            </w:r>
          </w:p>
        </w:tc>
        <w:tc>
          <w:tcPr>
            <w:tcW w:w="580" w:type="pct"/>
            <w:tcBorders>
              <w:top w:val="single" w:sz="2" w:space="0" w:color="3E3E3F"/>
              <w:bottom w:val="nil"/>
            </w:tcBorders>
            <w:vAlign w:val="center"/>
          </w:tcPr>
          <w:p w:rsidR="00937254" w:rsidRDefault="00653842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2μg</w:t>
            </w:r>
          </w:p>
        </w:tc>
        <w:tc>
          <w:tcPr>
            <w:tcW w:w="580" w:type="pct"/>
            <w:tcBorders>
              <w:top w:val="single" w:sz="2" w:space="0" w:color="3E3E3F"/>
              <w:bottom w:val="nil"/>
            </w:tcBorders>
            <w:vAlign w:val="center"/>
          </w:tcPr>
          <w:p w:rsidR="00937254" w:rsidRDefault="00653842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3μg</w:t>
            </w:r>
          </w:p>
        </w:tc>
        <w:tc>
          <w:tcPr>
            <w:tcW w:w="580" w:type="pct"/>
            <w:tcBorders>
              <w:top w:val="single" w:sz="2" w:space="0" w:color="3E3E3F"/>
              <w:bottom w:val="nil"/>
            </w:tcBorders>
            <w:vAlign w:val="center"/>
          </w:tcPr>
          <w:p w:rsidR="00937254" w:rsidRDefault="00653842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4μg</w:t>
            </w:r>
          </w:p>
        </w:tc>
        <w:tc>
          <w:tcPr>
            <w:tcW w:w="581" w:type="pct"/>
            <w:tcBorders>
              <w:top w:val="single" w:sz="2" w:space="0" w:color="3E3E3F"/>
              <w:bottom w:val="nil"/>
            </w:tcBorders>
            <w:vAlign w:val="center"/>
          </w:tcPr>
          <w:p w:rsidR="00937254" w:rsidRDefault="00653842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5μg</w:t>
            </w:r>
          </w:p>
        </w:tc>
      </w:tr>
      <w:tr w:rsidR="00937254">
        <w:trPr>
          <w:trHeight w:val="334"/>
        </w:trPr>
        <w:tc>
          <w:tcPr>
            <w:tcW w:w="2095" w:type="pct"/>
            <w:tcBorders>
              <w:top w:val="nil"/>
              <w:bottom w:val="nil"/>
            </w:tcBorders>
          </w:tcPr>
          <w:p w:rsidR="00937254" w:rsidRDefault="00653842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LightSpeed</w:t>
            </w:r>
            <w:r>
              <w:rPr>
                <w:rFonts w:ascii="Times New Roman" w:hAnsi="Times New Roman" w:cs="Times New Roman" w:hint="eastAsia"/>
                <w:sz w:val="24"/>
                <w:vertAlign w:val="superscript"/>
              </w:rPr>
              <w:t>TM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</w:rPr>
              <w:t>NotI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937254" w:rsidRDefault="00653842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1μL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937254" w:rsidRDefault="00653842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2μL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937254" w:rsidRDefault="00653842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3μL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937254" w:rsidRDefault="00653842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4μL</w:t>
            </w:r>
          </w:p>
        </w:tc>
        <w:tc>
          <w:tcPr>
            <w:tcW w:w="581" w:type="pct"/>
            <w:tcBorders>
              <w:top w:val="nil"/>
              <w:bottom w:val="nil"/>
            </w:tcBorders>
            <w:vAlign w:val="center"/>
          </w:tcPr>
          <w:p w:rsidR="00937254" w:rsidRDefault="00653842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5μL</w:t>
            </w:r>
          </w:p>
        </w:tc>
      </w:tr>
      <w:tr w:rsidR="00937254">
        <w:trPr>
          <w:trHeight w:val="334"/>
        </w:trPr>
        <w:tc>
          <w:tcPr>
            <w:tcW w:w="2095" w:type="pct"/>
            <w:tcBorders>
              <w:top w:val="nil"/>
              <w:bottom w:val="nil"/>
            </w:tcBorders>
          </w:tcPr>
          <w:p w:rsidR="00937254" w:rsidRDefault="00653842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10×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  <w:r>
              <w:rPr>
                <w:rFonts w:ascii="Times New Roman" w:hAnsi="Times New Roman" w:cs="Times New Roman"/>
                <w:sz w:val="24"/>
              </w:rPr>
              <w:t>或</w:t>
            </w:r>
            <w:r>
              <w:rPr>
                <w:rFonts w:ascii="Times New Roman" w:hAnsi="Times New Roman" w:cs="Times New Roman"/>
                <w:sz w:val="24"/>
              </w:rPr>
              <w:t>10×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Color Buﬀer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937254" w:rsidRDefault="00653842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2μL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937254" w:rsidRDefault="00653842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2μL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937254" w:rsidRDefault="00653842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3μL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937254" w:rsidRDefault="00653842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4μL</w:t>
            </w:r>
          </w:p>
        </w:tc>
        <w:tc>
          <w:tcPr>
            <w:tcW w:w="581" w:type="pct"/>
            <w:tcBorders>
              <w:top w:val="nil"/>
              <w:bottom w:val="nil"/>
            </w:tcBorders>
            <w:vAlign w:val="center"/>
          </w:tcPr>
          <w:p w:rsidR="00937254" w:rsidRDefault="00653842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5μL</w:t>
            </w:r>
          </w:p>
        </w:tc>
      </w:tr>
      <w:tr w:rsidR="00937254">
        <w:trPr>
          <w:trHeight w:val="334"/>
        </w:trPr>
        <w:tc>
          <w:tcPr>
            <w:tcW w:w="2095" w:type="pct"/>
            <w:tcBorders>
              <w:top w:val="nil"/>
              <w:bottom w:val="single" w:sz="2" w:space="0" w:color="3E3E3F"/>
            </w:tcBorders>
          </w:tcPr>
          <w:p w:rsidR="00937254" w:rsidRDefault="00653842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Total</w:t>
            </w:r>
          </w:p>
        </w:tc>
        <w:tc>
          <w:tcPr>
            <w:tcW w:w="580" w:type="pct"/>
            <w:tcBorders>
              <w:top w:val="nil"/>
              <w:bottom w:val="single" w:sz="2" w:space="0" w:color="3E3E3F"/>
            </w:tcBorders>
            <w:vAlign w:val="center"/>
          </w:tcPr>
          <w:p w:rsidR="00937254" w:rsidRDefault="00653842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20μL</w:t>
            </w:r>
          </w:p>
        </w:tc>
        <w:tc>
          <w:tcPr>
            <w:tcW w:w="580" w:type="pct"/>
            <w:tcBorders>
              <w:top w:val="nil"/>
              <w:bottom w:val="single" w:sz="2" w:space="0" w:color="3E3E3F"/>
            </w:tcBorders>
            <w:vAlign w:val="center"/>
          </w:tcPr>
          <w:p w:rsidR="00937254" w:rsidRDefault="00653842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20μL</w:t>
            </w:r>
          </w:p>
        </w:tc>
        <w:tc>
          <w:tcPr>
            <w:tcW w:w="580" w:type="pct"/>
            <w:tcBorders>
              <w:top w:val="nil"/>
              <w:bottom w:val="single" w:sz="2" w:space="0" w:color="3E3E3F"/>
            </w:tcBorders>
            <w:vAlign w:val="center"/>
          </w:tcPr>
          <w:p w:rsidR="00937254" w:rsidRDefault="00653842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30μL</w:t>
            </w:r>
          </w:p>
        </w:tc>
        <w:tc>
          <w:tcPr>
            <w:tcW w:w="580" w:type="pct"/>
            <w:tcBorders>
              <w:top w:val="nil"/>
              <w:bottom w:val="single" w:sz="2" w:space="0" w:color="3E3E3F"/>
            </w:tcBorders>
            <w:vAlign w:val="center"/>
          </w:tcPr>
          <w:p w:rsidR="00937254" w:rsidRDefault="00653842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40μL</w:t>
            </w:r>
          </w:p>
        </w:tc>
        <w:tc>
          <w:tcPr>
            <w:tcW w:w="581" w:type="pct"/>
            <w:tcBorders>
              <w:top w:val="nil"/>
              <w:bottom w:val="single" w:sz="2" w:space="0" w:color="3E3E3F"/>
            </w:tcBorders>
            <w:vAlign w:val="center"/>
          </w:tcPr>
          <w:p w:rsidR="00937254" w:rsidRDefault="00653842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50μL</w:t>
            </w:r>
          </w:p>
        </w:tc>
      </w:tr>
    </w:tbl>
    <w:p w:rsidR="00937254" w:rsidRDefault="00653842">
      <w:pPr>
        <w:spacing w:line="240" w:lineRule="atLeast"/>
        <w:rPr>
          <w:rFonts w:ascii="Times New Roman" w:hAnsi="Times New Roman" w:cs="Times New Roman"/>
          <w:spacing w:val="-2"/>
          <w:szCs w:val="21"/>
        </w:rPr>
      </w:pPr>
      <w:r>
        <w:rPr>
          <w:rFonts w:ascii="Times New Roman" w:hAnsi="Times New Roman" w:cs="Times New Roman"/>
          <w:spacing w:val="-2"/>
          <w:szCs w:val="21"/>
        </w:rPr>
        <w:t>注：如果总反应体系大于</w:t>
      </w:r>
      <w:r>
        <w:rPr>
          <w:rFonts w:ascii="Times New Roman" w:hAnsi="Times New Roman" w:cs="Times New Roman"/>
          <w:spacing w:val="-2"/>
          <w:szCs w:val="21"/>
        </w:rPr>
        <w:t>20μL</w:t>
      </w:r>
      <w:r>
        <w:rPr>
          <w:rFonts w:ascii="Times New Roman" w:hAnsi="Times New Roman" w:cs="Times New Roman"/>
          <w:spacing w:val="-2"/>
          <w:szCs w:val="21"/>
        </w:rPr>
        <w:t>，应适当增加温育时间，尽量使用水浴、金属浴或沙浴。</w:t>
      </w:r>
    </w:p>
    <w:p w:rsidR="00937254" w:rsidRDefault="00653842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不同</w:t>
      </w:r>
      <w:r>
        <w:rPr>
          <w:rFonts w:ascii="Times New Roman" w:hAnsi="Times New Roman" w:cs="Times New Roman"/>
          <w:b/>
          <w:bCs/>
          <w:spacing w:val="-4"/>
          <w:sz w:val="24"/>
        </w:rPr>
        <w:t>DNA</w:t>
      </w:r>
      <w:r>
        <w:rPr>
          <w:rFonts w:ascii="Times New Roman" w:hAnsi="Times New Roman" w:cs="Times New Roman"/>
          <w:b/>
          <w:bCs/>
          <w:spacing w:val="-4"/>
          <w:sz w:val="24"/>
        </w:rPr>
        <w:t>中的酶切位点数量</w:t>
      </w:r>
    </w:p>
    <w:tbl>
      <w:tblPr>
        <w:tblStyle w:val="TableNormal"/>
        <w:tblW w:w="4997" w:type="pct"/>
        <w:jc w:val="center"/>
        <w:tblInd w:w="0" w:type="dxa"/>
        <w:tblBorders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  <w:insideH w:val="none" w:sz="2" w:space="0" w:color="000000"/>
          <w:insideV w:val="none" w:sz="2" w:space="0" w:color="000000"/>
        </w:tblBorders>
        <w:tblLook w:val="04A0" w:firstRow="1" w:lastRow="0" w:firstColumn="1" w:lastColumn="0" w:noHBand="0" w:noVBand="1"/>
      </w:tblPr>
      <w:tblGrid>
        <w:gridCol w:w="1203"/>
        <w:gridCol w:w="1203"/>
        <w:gridCol w:w="1266"/>
        <w:gridCol w:w="1140"/>
        <w:gridCol w:w="1330"/>
        <w:gridCol w:w="1011"/>
        <w:gridCol w:w="1457"/>
        <w:gridCol w:w="1130"/>
      </w:tblGrid>
      <w:tr w:rsidR="00937254">
        <w:trPr>
          <w:trHeight w:val="335"/>
          <w:jc w:val="center"/>
        </w:trPr>
        <w:tc>
          <w:tcPr>
            <w:tcW w:w="61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937254" w:rsidRDefault="0065384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λDNA</w:t>
            </w:r>
          </w:p>
        </w:tc>
        <w:tc>
          <w:tcPr>
            <w:tcW w:w="61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937254" w:rsidRDefault="0065384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ΦX174</w:t>
            </w:r>
          </w:p>
        </w:tc>
        <w:tc>
          <w:tcPr>
            <w:tcW w:w="649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937254" w:rsidRDefault="0065384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pBR322</w:t>
            </w:r>
          </w:p>
        </w:tc>
        <w:tc>
          <w:tcPr>
            <w:tcW w:w="585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937254" w:rsidRDefault="0065384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pUC57</w:t>
            </w:r>
          </w:p>
        </w:tc>
        <w:tc>
          <w:tcPr>
            <w:tcW w:w="682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937254" w:rsidRDefault="0065384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pUC18/19</w:t>
            </w:r>
          </w:p>
        </w:tc>
        <w:tc>
          <w:tcPr>
            <w:tcW w:w="519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937254" w:rsidRDefault="0065384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SV40</w:t>
            </w:r>
          </w:p>
        </w:tc>
        <w:tc>
          <w:tcPr>
            <w:tcW w:w="74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937254" w:rsidRDefault="0065384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M13mp18/19</w:t>
            </w:r>
          </w:p>
        </w:tc>
        <w:tc>
          <w:tcPr>
            <w:tcW w:w="580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937254" w:rsidRDefault="0065384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Adeno2</w:t>
            </w:r>
          </w:p>
        </w:tc>
      </w:tr>
      <w:tr w:rsidR="00937254">
        <w:trPr>
          <w:trHeight w:val="335"/>
          <w:jc w:val="center"/>
        </w:trPr>
        <w:tc>
          <w:tcPr>
            <w:tcW w:w="61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937254" w:rsidRDefault="00653842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0</w:t>
            </w:r>
          </w:p>
        </w:tc>
        <w:tc>
          <w:tcPr>
            <w:tcW w:w="61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937254" w:rsidRDefault="00653842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0</w:t>
            </w:r>
          </w:p>
        </w:tc>
        <w:tc>
          <w:tcPr>
            <w:tcW w:w="649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937254" w:rsidRDefault="00653842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0</w:t>
            </w:r>
          </w:p>
        </w:tc>
        <w:tc>
          <w:tcPr>
            <w:tcW w:w="585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937254" w:rsidRDefault="00653842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0</w:t>
            </w:r>
          </w:p>
        </w:tc>
        <w:tc>
          <w:tcPr>
            <w:tcW w:w="682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937254" w:rsidRDefault="00653842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0</w:t>
            </w:r>
          </w:p>
        </w:tc>
        <w:tc>
          <w:tcPr>
            <w:tcW w:w="519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937254" w:rsidRDefault="00653842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0</w:t>
            </w:r>
          </w:p>
        </w:tc>
        <w:tc>
          <w:tcPr>
            <w:tcW w:w="74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937254" w:rsidRDefault="00653842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0</w:t>
            </w:r>
          </w:p>
        </w:tc>
        <w:tc>
          <w:tcPr>
            <w:tcW w:w="580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937254" w:rsidRDefault="00653842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7</w:t>
            </w:r>
          </w:p>
        </w:tc>
      </w:tr>
    </w:tbl>
    <w:p w:rsidR="00937254" w:rsidRDefault="00653842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甲基化修饰影响</w:t>
      </w:r>
    </w:p>
    <w:tbl>
      <w:tblPr>
        <w:tblStyle w:val="a6"/>
        <w:tblW w:w="4986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87"/>
        <w:gridCol w:w="1789"/>
        <w:gridCol w:w="3082"/>
        <w:gridCol w:w="1637"/>
        <w:gridCol w:w="1639"/>
      </w:tblGrid>
      <w:tr w:rsidR="00937254">
        <w:trPr>
          <w:trHeight w:val="334"/>
        </w:trPr>
        <w:tc>
          <w:tcPr>
            <w:tcW w:w="899" w:type="pct"/>
            <w:tcBorders>
              <w:tl2br w:val="nil"/>
              <w:tr2bl w:val="nil"/>
            </w:tcBorders>
            <w:vAlign w:val="center"/>
          </w:tcPr>
          <w:p w:rsidR="00937254" w:rsidRDefault="0065384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Dam</w:t>
            </w:r>
          </w:p>
        </w:tc>
        <w:tc>
          <w:tcPr>
            <w:tcW w:w="900" w:type="pct"/>
            <w:tcBorders>
              <w:tl2br w:val="nil"/>
              <w:tr2bl w:val="nil"/>
            </w:tcBorders>
            <w:vAlign w:val="center"/>
          </w:tcPr>
          <w:p w:rsidR="00937254" w:rsidRDefault="0065384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Dcm</w:t>
            </w:r>
          </w:p>
        </w:tc>
        <w:tc>
          <w:tcPr>
            <w:tcW w:w="1550" w:type="pct"/>
            <w:tcBorders>
              <w:tl2br w:val="nil"/>
              <w:tr2bl w:val="nil"/>
            </w:tcBorders>
            <w:vAlign w:val="center"/>
          </w:tcPr>
          <w:p w:rsidR="00937254" w:rsidRDefault="0065384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CpG</w:t>
            </w:r>
          </w:p>
        </w:tc>
        <w:tc>
          <w:tcPr>
            <w:tcW w:w="824" w:type="pct"/>
            <w:tcBorders>
              <w:tl2br w:val="nil"/>
              <w:tr2bl w:val="nil"/>
            </w:tcBorders>
            <w:vAlign w:val="center"/>
          </w:tcPr>
          <w:p w:rsidR="00937254" w:rsidRDefault="0065384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EcoKI</w:t>
            </w:r>
          </w:p>
        </w:tc>
        <w:tc>
          <w:tcPr>
            <w:tcW w:w="825" w:type="pct"/>
            <w:tcBorders>
              <w:tl2br w:val="nil"/>
              <w:tr2bl w:val="nil"/>
            </w:tcBorders>
            <w:vAlign w:val="center"/>
          </w:tcPr>
          <w:p w:rsidR="00937254" w:rsidRDefault="0065384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EcoBI</w:t>
            </w:r>
          </w:p>
        </w:tc>
      </w:tr>
      <w:tr w:rsidR="00937254">
        <w:trPr>
          <w:trHeight w:val="334"/>
        </w:trPr>
        <w:tc>
          <w:tcPr>
            <w:tcW w:w="899" w:type="pct"/>
            <w:tcBorders>
              <w:tl2br w:val="nil"/>
              <w:tr2bl w:val="nil"/>
            </w:tcBorders>
            <w:vAlign w:val="center"/>
          </w:tcPr>
          <w:p w:rsidR="00937254" w:rsidRDefault="0065384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无影响</w:t>
            </w:r>
          </w:p>
        </w:tc>
        <w:tc>
          <w:tcPr>
            <w:tcW w:w="900" w:type="pct"/>
            <w:tcBorders>
              <w:tl2br w:val="nil"/>
              <w:tr2bl w:val="nil"/>
            </w:tcBorders>
            <w:vAlign w:val="center"/>
          </w:tcPr>
          <w:p w:rsidR="00937254" w:rsidRDefault="0065384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无影响</w:t>
            </w:r>
          </w:p>
        </w:tc>
        <w:tc>
          <w:tcPr>
            <w:tcW w:w="1550" w:type="pct"/>
            <w:tcBorders>
              <w:tl2br w:val="nil"/>
              <w:tr2bl w:val="nil"/>
            </w:tcBorders>
            <w:vAlign w:val="center"/>
          </w:tcPr>
          <w:p w:rsidR="00937254" w:rsidRDefault="0065384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/>
                <w:sz w:val="24"/>
              </w:rPr>
              <w:t>序列可能重叠剪切受阻</w:t>
            </w:r>
          </w:p>
        </w:tc>
        <w:tc>
          <w:tcPr>
            <w:tcW w:w="824" w:type="pct"/>
            <w:tcBorders>
              <w:tl2br w:val="nil"/>
              <w:tr2bl w:val="nil"/>
            </w:tcBorders>
            <w:vAlign w:val="center"/>
          </w:tcPr>
          <w:p w:rsidR="00937254" w:rsidRDefault="0065384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无影响</w:t>
            </w:r>
          </w:p>
        </w:tc>
        <w:tc>
          <w:tcPr>
            <w:tcW w:w="825" w:type="pct"/>
            <w:tcBorders>
              <w:tl2br w:val="nil"/>
              <w:tr2bl w:val="nil"/>
            </w:tcBorders>
            <w:vAlign w:val="center"/>
          </w:tcPr>
          <w:p w:rsidR="00937254" w:rsidRDefault="0065384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无影响</w:t>
            </w:r>
          </w:p>
        </w:tc>
      </w:tr>
    </w:tbl>
    <w:p w:rsidR="00937254" w:rsidRDefault="00653842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在不同反应缓冲液中的活性</w:t>
      </w:r>
    </w:p>
    <w:tbl>
      <w:tblPr>
        <w:tblStyle w:val="a6"/>
        <w:tblW w:w="4996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"/>
        <w:gridCol w:w="1557"/>
        <w:gridCol w:w="3040"/>
        <w:gridCol w:w="2182"/>
        <w:gridCol w:w="2240"/>
      </w:tblGrid>
      <w:tr w:rsidR="00937254">
        <w:trPr>
          <w:trHeight w:val="334"/>
        </w:trPr>
        <w:tc>
          <w:tcPr>
            <w:tcW w:w="470" w:type="pct"/>
            <w:tcBorders>
              <w:tl2br w:val="nil"/>
              <w:tr2bl w:val="nil"/>
            </w:tcBorders>
            <w:vAlign w:val="center"/>
          </w:tcPr>
          <w:p w:rsidR="00937254" w:rsidRDefault="0093725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2" w:type="pct"/>
            <w:tcBorders>
              <w:tl2br w:val="nil"/>
              <w:tr2bl w:val="nil"/>
            </w:tcBorders>
            <w:vAlign w:val="center"/>
          </w:tcPr>
          <w:p w:rsidR="00937254" w:rsidRDefault="0065384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vAlign w:val="center"/>
          </w:tcPr>
          <w:p w:rsidR="00937254" w:rsidRDefault="0065384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Thermo Scientiﬁc</w:t>
            </w:r>
          </w:p>
          <w:p w:rsidR="00937254" w:rsidRDefault="0065384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FastDigest Buﬀer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vAlign w:val="center"/>
          </w:tcPr>
          <w:p w:rsidR="00937254" w:rsidRDefault="0065384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NEB</w:t>
            </w:r>
          </w:p>
          <w:p w:rsidR="00937254" w:rsidRDefault="0065384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CutSmart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®</w:t>
            </w:r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</w:p>
        </w:tc>
        <w:tc>
          <w:tcPr>
            <w:tcW w:w="1124" w:type="pct"/>
            <w:tcBorders>
              <w:tl2br w:val="nil"/>
              <w:tr2bl w:val="nil"/>
            </w:tcBorders>
            <w:vAlign w:val="center"/>
          </w:tcPr>
          <w:p w:rsidR="00937254" w:rsidRDefault="0065384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Takara</w:t>
            </w:r>
          </w:p>
          <w:p w:rsidR="00937254" w:rsidRDefault="0065384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QuickCut</w:t>
            </w:r>
            <w:r>
              <w:rPr>
                <w:rFonts w:ascii="Times New Roman" w:hAnsi="Times New Roman" w:cs="Times New Roman" w:hint="eastAsia"/>
                <w:sz w:val="24"/>
                <w:vertAlign w:val="superscript"/>
              </w:rPr>
              <w:t>TM</w:t>
            </w:r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</w:p>
        </w:tc>
      </w:tr>
      <w:tr w:rsidR="00937254">
        <w:trPr>
          <w:trHeight w:val="334"/>
        </w:trPr>
        <w:tc>
          <w:tcPr>
            <w:tcW w:w="470" w:type="pct"/>
            <w:tcBorders>
              <w:tl2br w:val="nil"/>
              <w:tr2bl w:val="nil"/>
            </w:tcBorders>
            <w:vAlign w:val="center"/>
          </w:tcPr>
          <w:p w:rsidR="00937254" w:rsidRDefault="0065384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活性</w:t>
            </w:r>
          </w:p>
        </w:tc>
        <w:tc>
          <w:tcPr>
            <w:tcW w:w="782" w:type="pct"/>
            <w:tcBorders>
              <w:tl2br w:val="nil"/>
              <w:tr2bl w:val="nil"/>
            </w:tcBorders>
            <w:vAlign w:val="center"/>
          </w:tcPr>
          <w:p w:rsidR="00937254" w:rsidRDefault="0065384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vAlign w:val="center"/>
          </w:tcPr>
          <w:p w:rsidR="00937254" w:rsidRDefault="0065384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100</w:t>
            </w:r>
            <w:r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vAlign w:val="center"/>
          </w:tcPr>
          <w:p w:rsidR="00937254" w:rsidRDefault="0065384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124" w:type="pct"/>
            <w:tcBorders>
              <w:tl2br w:val="nil"/>
              <w:tr2bl w:val="nil"/>
            </w:tcBorders>
            <w:vAlign w:val="center"/>
          </w:tcPr>
          <w:p w:rsidR="00937254" w:rsidRDefault="0065384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100</w:t>
            </w:r>
            <w:r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</w:tbl>
    <w:p w:rsidR="00937254" w:rsidRDefault="00653842">
      <w:pPr>
        <w:spacing w:line="240" w:lineRule="atLeast"/>
        <w:rPr>
          <w:rFonts w:ascii="Times New Roman" w:hAnsi="Times New Roman" w:cs="Times New Roman"/>
          <w:spacing w:val="-2"/>
          <w:szCs w:val="21"/>
        </w:rPr>
      </w:pPr>
      <w:r>
        <w:rPr>
          <w:rFonts w:ascii="Times New Roman" w:hAnsi="Times New Roman" w:cs="Times New Roman"/>
          <w:spacing w:val="-2"/>
          <w:szCs w:val="21"/>
        </w:rPr>
        <w:t>注：活性数据来自三狮生物限制酶标准反应体系下的检测。</w:t>
      </w:r>
    </w:p>
    <w:sectPr w:rsidR="00937254">
      <w:headerReference w:type="default" r:id="rId9"/>
      <w:pgSz w:w="11906" w:h="16838"/>
      <w:pgMar w:top="1440" w:right="1080" w:bottom="1134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3842" w:rsidRDefault="00653842">
      <w:r>
        <w:separator/>
      </w:r>
    </w:p>
  </w:endnote>
  <w:endnote w:type="continuationSeparator" w:id="0">
    <w:p w:rsidR="00653842" w:rsidRDefault="00653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3842" w:rsidRDefault="00653842">
      <w:r>
        <w:separator/>
      </w:r>
    </w:p>
  </w:footnote>
  <w:footnote w:type="continuationSeparator" w:id="0">
    <w:p w:rsidR="00653842" w:rsidRDefault="006538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7254" w:rsidRDefault="00653842">
    <w:pPr>
      <w:pStyle w:val="a5"/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-685800</wp:posOffset>
          </wp:positionH>
          <wp:positionV relativeFrom="page">
            <wp:posOffset>71120</wp:posOffset>
          </wp:positionV>
          <wp:extent cx="7555230" cy="793750"/>
          <wp:effectExtent l="0" t="0" r="7620" b="6350"/>
          <wp:wrapThrough wrapText="bothSides">
            <wp:wrapPolygon edited="0">
              <wp:start x="0" y="0"/>
              <wp:lineTo x="0" y="21254"/>
              <wp:lineTo x="21567" y="21254"/>
              <wp:lineTo x="21567" y="0"/>
              <wp:lineTo x="0" y="0"/>
            </wp:wrapPolygon>
          </wp:wrapThrough>
          <wp:docPr id="9" name="图片 9" descr="C:\Users\zyy\Desktop\图片1.png图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9" descr="C:\Users\zyy\Desktop\图片1.png图片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5230" cy="793750"/>
                  </a:xfrm>
                  <a:prstGeom prst="rect">
                    <a:avLst/>
                  </a:prstGeom>
                  <a:noFill/>
                  <a:ln cap="flat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153F1"/>
    <w:multiLevelType w:val="singleLevel"/>
    <w:tmpl w:val="053153F1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lODBiYjFlYzhlZDA3NjU0NzIyMDc1NDI3NTFhMTIifQ=="/>
  </w:docVars>
  <w:rsids>
    <w:rsidRoot w:val="00937254"/>
    <w:rsid w:val="000A71EE"/>
    <w:rsid w:val="003D3FE9"/>
    <w:rsid w:val="00653842"/>
    <w:rsid w:val="00937254"/>
    <w:rsid w:val="012074A4"/>
    <w:rsid w:val="01730D53"/>
    <w:rsid w:val="0239547A"/>
    <w:rsid w:val="03372B16"/>
    <w:rsid w:val="04674A3A"/>
    <w:rsid w:val="05410FC1"/>
    <w:rsid w:val="071B4C37"/>
    <w:rsid w:val="091B4E56"/>
    <w:rsid w:val="09B46D46"/>
    <w:rsid w:val="09FB2368"/>
    <w:rsid w:val="0C525237"/>
    <w:rsid w:val="0C732616"/>
    <w:rsid w:val="0CA56122"/>
    <w:rsid w:val="0CA8167A"/>
    <w:rsid w:val="0CB50662"/>
    <w:rsid w:val="0CD17F9E"/>
    <w:rsid w:val="0D0E70DF"/>
    <w:rsid w:val="0D5F45D9"/>
    <w:rsid w:val="0E2E0248"/>
    <w:rsid w:val="0F8A7463"/>
    <w:rsid w:val="105B0C8D"/>
    <w:rsid w:val="10AF663F"/>
    <w:rsid w:val="10E72496"/>
    <w:rsid w:val="125123E7"/>
    <w:rsid w:val="13884819"/>
    <w:rsid w:val="138B2994"/>
    <w:rsid w:val="16B05F19"/>
    <w:rsid w:val="19AC71F3"/>
    <w:rsid w:val="1A044257"/>
    <w:rsid w:val="1A374A56"/>
    <w:rsid w:val="1AB04381"/>
    <w:rsid w:val="1CC16E9D"/>
    <w:rsid w:val="1F320CD8"/>
    <w:rsid w:val="1FF63B2C"/>
    <w:rsid w:val="202478AD"/>
    <w:rsid w:val="21A00317"/>
    <w:rsid w:val="22556D6A"/>
    <w:rsid w:val="2771308E"/>
    <w:rsid w:val="29CA60A8"/>
    <w:rsid w:val="2BFE3231"/>
    <w:rsid w:val="324056DF"/>
    <w:rsid w:val="34766DCF"/>
    <w:rsid w:val="35447F8D"/>
    <w:rsid w:val="358D0F0B"/>
    <w:rsid w:val="35F068AA"/>
    <w:rsid w:val="37340F35"/>
    <w:rsid w:val="377F1F6E"/>
    <w:rsid w:val="38001118"/>
    <w:rsid w:val="39BF14F6"/>
    <w:rsid w:val="3AE15F1B"/>
    <w:rsid w:val="3AEE7586"/>
    <w:rsid w:val="3B5B0F3E"/>
    <w:rsid w:val="3BF7185A"/>
    <w:rsid w:val="3D3F5603"/>
    <w:rsid w:val="3F435BC1"/>
    <w:rsid w:val="3FD71FD3"/>
    <w:rsid w:val="3FDD2148"/>
    <w:rsid w:val="40787B48"/>
    <w:rsid w:val="408B354F"/>
    <w:rsid w:val="438F528D"/>
    <w:rsid w:val="448B4882"/>
    <w:rsid w:val="49F80122"/>
    <w:rsid w:val="4B4711F0"/>
    <w:rsid w:val="4B485BA6"/>
    <w:rsid w:val="4DA0397A"/>
    <w:rsid w:val="4EB45736"/>
    <w:rsid w:val="4EDD569B"/>
    <w:rsid w:val="4EDD5EE3"/>
    <w:rsid w:val="4F150182"/>
    <w:rsid w:val="4FA77519"/>
    <w:rsid w:val="519D1BB8"/>
    <w:rsid w:val="51DD405E"/>
    <w:rsid w:val="53277CA7"/>
    <w:rsid w:val="542B4307"/>
    <w:rsid w:val="54710F99"/>
    <w:rsid w:val="54B94DA4"/>
    <w:rsid w:val="55F84612"/>
    <w:rsid w:val="57034A09"/>
    <w:rsid w:val="58D32749"/>
    <w:rsid w:val="5AC86291"/>
    <w:rsid w:val="5B783B11"/>
    <w:rsid w:val="5D7C065F"/>
    <w:rsid w:val="5D8114B1"/>
    <w:rsid w:val="5EB46D84"/>
    <w:rsid w:val="5ECA0EDF"/>
    <w:rsid w:val="604663A9"/>
    <w:rsid w:val="61071063"/>
    <w:rsid w:val="61B943D3"/>
    <w:rsid w:val="635973E4"/>
    <w:rsid w:val="65605ABA"/>
    <w:rsid w:val="66AE3D8B"/>
    <w:rsid w:val="67E8720F"/>
    <w:rsid w:val="68283A50"/>
    <w:rsid w:val="68EE777B"/>
    <w:rsid w:val="6918002D"/>
    <w:rsid w:val="69B131CC"/>
    <w:rsid w:val="6DB723DB"/>
    <w:rsid w:val="6E6D05A9"/>
    <w:rsid w:val="6EF566F9"/>
    <w:rsid w:val="6F3D4C92"/>
    <w:rsid w:val="708446DD"/>
    <w:rsid w:val="71DD63EE"/>
    <w:rsid w:val="71FD3196"/>
    <w:rsid w:val="72924FE4"/>
    <w:rsid w:val="7521355C"/>
    <w:rsid w:val="7B4E45C4"/>
    <w:rsid w:val="7BCF7EF3"/>
    <w:rsid w:val="7EAB124C"/>
    <w:rsid w:val="7EE126E3"/>
    <w:rsid w:val="7EF62CF7"/>
    <w:rsid w:val="7F252EE6"/>
    <w:rsid w:val="7F66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7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ind w:left="160"/>
      <w:outlineLvl w:val="0"/>
    </w:pPr>
    <w:rPr>
      <w:rFonts w:ascii="微软雅黑" w:eastAsia="微软雅黑" w:hAnsi="微软雅黑" w:cs="微软雅黑"/>
      <w:b/>
      <w:bCs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54"/>
    </w:pPr>
    <w:rPr>
      <w:rFonts w:ascii="PMingLiU" w:eastAsia="PMingLiU" w:hAnsi="PMingLiU" w:cs="PMingLiU"/>
      <w:szCs w:val="21"/>
      <w:lang w:eastAsia="en-US" w:bidi="en-US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37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Emphasis"/>
    <w:basedOn w:val="a0"/>
    <w:qFormat/>
    <w:rPr>
      <w:i/>
    </w:rPr>
  </w:style>
  <w:style w:type="paragraph" w:styleId="a9">
    <w:name w:val="List Paragraph"/>
    <w:basedOn w:val="a"/>
    <w:uiPriority w:val="1"/>
    <w:qFormat/>
    <w:pPr>
      <w:spacing w:before="54"/>
      <w:ind w:left="534" w:hanging="432"/>
    </w:pPr>
    <w:rPr>
      <w:rFonts w:ascii="PMingLiU" w:eastAsia="PMingLiU" w:hAnsi="PMingLiU" w:cs="PMingLiU"/>
      <w:lang w:eastAsia="en-US" w:bidi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7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ind w:left="160"/>
      <w:outlineLvl w:val="0"/>
    </w:pPr>
    <w:rPr>
      <w:rFonts w:ascii="微软雅黑" w:eastAsia="微软雅黑" w:hAnsi="微软雅黑" w:cs="微软雅黑"/>
      <w:b/>
      <w:bCs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54"/>
    </w:pPr>
    <w:rPr>
      <w:rFonts w:ascii="PMingLiU" w:eastAsia="PMingLiU" w:hAnsi="PMingLiU" w:cs="PMingLiU"/>
      <w:szCs w:val="21"/>
      <w:lang w:eastAsia="en-US" w:bidi="en-US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37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Emphasis"/>
    <w:basedOn w:val="a0"/>
    <w:qFormat/>
    <w:rPr>
      <w:i/>
    </w:rPr>
  </w:style>
  <w:style w:type="paragraph" w:styleId="a9">
    <w:name w:val="List Paragraph"/>
    <w:basedOn w:val="a"/>
    <w:uiPriority w:val="1"/>
    <w:qFormat/>
    <w:pPr>
      <w:spacing w:before="54"/>
      <w:ind w:left="534" w:hanging="432"/>
    </w:pPr>
    <w:rPr>
      <w:rFonts w:ascii="PMingLiU" w:eastAsia="PMingLiU" w:hAnsi="PMingLiU" w:cs="PMingLiU"/>
      <w:lang w:eastAsia="en-US" w:bidi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335</Words>
  <Characters>1911</Characters>
  <Application>Microsoft Office Word</Application>
  <DocSecurity>0</DocSecurity>
  <Lines>15</Lines>
  <Paragraphs>4</Paragraphs>
  <ScaleCrop>false</ScaleCrop>
  <Company/>
  <LinksUpToDate>false</LinksUpToDate>
  <CharactersWithSpaces>2242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Q1000</dc:creator>
  <cp:lastModifiedBy>acer</cp:lastModifiedBy>
  <cp:revision>2</cp:revision>
  <cp:lastPrinted>2020-07-28T07:17:00Z</cp:lastPrinted>
  <dcterms:created xsi:type="dcterms:W3CDTF">2020-07-28T01:52:00Z</dcterms:created>
  <dcterms:modified xsi:type="dcterms:W3CDTF">2023-11-28T09:06:00Z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1D4052FAC68C4B629ADE718F742BCC68</vt:lpwstr>
  </property>
</Properties>
</file>