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053A7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053A7" w:rsidRDefault="005E114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7053A7" w:rsidRDefault="005E114B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 w:hint="eastAsia"/>
          <w:b/>
          <w:sz w:val="30"/>
          <w:szCs w:val="30"/>
          <w:vertAlign w:val="superscript"/>
        </w:rPr>
        <w:t>TM</w:t>
      </w:r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微软雅黑" w:hAnsi="Times New Roman" w:cs="Times New Roman"/>
          <w:b/>
          <w:sz w:val="36"/>
          <w:szCs w:val="36"/>
        </w:rPr>
        <w:t>SspI</w:t>
      </w:r>
    </w:p>
    <w:p w:rsidR="007053A7" w:rsidRDefault="005E114B" w:rsidP="00583230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40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60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053A7" w:rsidRDefault="005E11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053A7" w:rsidRDefault="005E114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zCs w:val="21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3039745</wp:posOffset>
            </wp:positionH>
            <wp:positionV relativeFrom="paragraph">
              <wp:posOffset>2540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5'...AATATT...3'</w:t>
      </w:r>
    </w:p>
    <w:p w:rsidR="007053A7" w:rsidRDefault="005E114B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3031490</wp:posOffset>
            </wp:positionH>
            <wp:positionV relativeFrom="paragraph">
              <wp:posOffset>147955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b/>
          <w:spacing w:val="34"/>
          <w:sz w:val="24"/>
        </w:rPr>
        <w:t>3</w:t>
      </w:r>
      <w:r>
        <w:rPr>
          <w:rFonts w:ascii="Times New Roman" w:hAnsi="Times New Roman" w:cs="Times New Roman"/>
          <w:b/>
          <w:spacing w:val="34"/>
          <w:sz w:val="24"/>
        </w:rPr>
        <w:t>'...TTATAA...5'</w:t>
      </w:r>
    </w:p>
    <w:p w:rsidR="007053A7" w:rsidRDefault="005E114B">
      <w:pPr>
        <w:widowControl/>
        <w:spacing w:line="460" w:lineRule="exact"/>
        <w:ind w:firstLineChars="200" w:firstLine="480"/>
        <w:rPr>
          <w:rFonts w:ascii="宋体" w:eastAsia="宋体" w:hAnsi="宋体" w:cs="宋体"/>
          <w:sz w:val="24"/>
        </w:rPr>
      </w:pP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，大大简化酶切反应体系；良好的酶活冗余度，轻松应对底物过量或困难模板酶切。此外，去磷酸化、连接试剂在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</w:t>
      </w:r>
      <w:r>
        <w:rPr>
          <w:rFonts w:ascii="宋体" w:eastAsia="宋体" w:hAnsi="宋体" w:cs="宋体" w:hint="eastAsia"/>
          <w:sz w:val="24"/>
        </w:rPr>
        <w:t>支持一管化反应，提升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7053A7" w:rsidRDefault="005E11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7053A7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7053A7" w:rsidRDefault="005E114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EZ22040S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60T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7053A7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SspI</w:t>
            </w:r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7053A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  <w:tr w:rsidR="007053A7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mL</w:t>
            </w:r>
          </w:p>
        </w:tc>
      </w:tr>
    </w:tbl>
    <w:p w:rsidR="007053A7" w:rsidRDefault="005E11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053A7" w:rsidRDefault="005E114B">
      <w:p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053A7" w:rsidRDefault="005E114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7053A7" w:rsidRDefault="005E114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SspI</w:t>
      </w:r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。</w:t>
      </w:r>
    </w:p>
    <w:p w:rsidR="007053A7" w:rsidRDefault="005E114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SspI</w:t>
      </w:r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 λDNA</w:t>
      </w:r>
      <w:r>
        <w:rPr>
          <w:rFonts w:ascii="Times New Roman" w:hAnsi="Times New Roman" w:cs="Times New Roman"/>
          <w:sz w:val="24"/>
        </w:rPr>
        <w:t>共温育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，未检测到其他核酸酶污染或星号活性引起的底物非特异性降解，延时酶切可能出现星号活性。</w:t>
      </w:r>
    </w:p>
    <w:p w:rsidR="007053A7" w:rsidRDefault="005E114B">
      <w:pPr>
        <w:widowControl/>
        <w:spacing w:line="46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再酶切检测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SspI</w:t>
      </w:r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r>
        <w:rPr>
          <w:rFonts w:ascii="Times New Roman" w:hAnsi="Times New Roman" w:cs="Times New Roman"/>
          <w:sz w:val="24"/>
        </w:rPr>
        <w:t>可以将酶切产物重新连接。将连接产物再次回收后，使用相同的内切酶可以重新切开连接产物。</w:t>
      </w:r>
    </w:p>
    <w:p w:rsidR="007053A7" w:rsidRDefault="007053A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53A7" w:rsidRDefault="007053A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53A7" w:rsidRDefault="007053A7">
      <w:pPr>
        <w:tabs>
          <w:tab w:val="left" w:pos="7287"/>
        </w:tabs>
        <w:spacing w:beforeLines="50" w:before="156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53A7" w:rsidRDefault="005E114B">
      <w:pPr>
        <w:widowControl/>
        <w:spacing w:line="42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70"/>
        <w:gridCol w:w="1890"/>
        <w:gridCol w:w="1889"/>
        <w:gridCol w:w="1889"/>
      </w:tblGrid>
      <w:tr w:rsidR="007053A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single" w:sz="2" w:space="0" w:color="3E3E3F"/>
            </w:tcBorders>
          </w:tcPr>
          <w:p w:rsidR="007053A7" w:rsidRDefault="007053A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10×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SspI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0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7053A7" w:rsidRDefault="005E11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聚合酶同时具有外切酶活性，会影响酶切产物，因此如下一步需进行克隆等操作，建议酶切前对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轻柔吸打或轻弹管壁以混匀（切勿涡旋），然后瞬时离心以收集挂壁液滴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④80℃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20</w:t>
      </w:r>
      <w:r>
        <w:rPr>
          <w:rFonts w:ascii="Times New Roman" w:hAnsi="Times New Roman" w:cs="Times New Roman"/>
          <w:spacing w:val="-2"/>
          <w:sz w:val="24"/>
        </w:rPr>
        <w:t>分钟即可使酶失活，停止反应（可选）。</w:t>
      </w:r>
    </w:p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7053A7" w:rsidRDefault="005E114B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如果所用的几种快速内切酶的最适反应温度不同，应先以最适温度低的酶开始酶切，再添加最适温度较高的酶，在其最适反应温度下进行酶切反应。</w:t>
      </w:r>
    </w:p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68"/>
        <w:gridCol w:w="1134"/>
        <w:gridCol w:w="1134"/>
        <w:gridCol w:w="1134"/>
        <w:gridCol w:w="1134"/>
        <w:gridCol w:w="1134"/>
      </w:tblGrid>
      <w:tr w:rsidR="007053A7">
        <w:trPr>
          <w:trHeight w:val="334"/>
        </w:trPr>
        <w:tc>
          <w:tcPr>
            <w:tcW w:w="2089" w:type="pct"/>
            <w:tcBorders>
              <w:top w:val="single" w:sz="2" w:space="0" w:color="3E3E3F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2" w:type="pct"/>
            <w:tcBorders>
              <w:top w:val="single" w:sz="2" w:space="0" w:color="3E3E3F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SspI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nil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>10×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7053A7">
        <w:trPr>
          <w:trHeight w:val="334"/>
        </w:trPr>
        <w:tc>
          <w:tcPr>
            <w:tcW w:w="2089" w:type="pct"/>
            <w:tcBorders>
              <w:top w:val="nil"/>
              <w:bottom w:val="single" w:sz="2" w:space="0" w:color="3E3E3F"/>
            </w:tcBorders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2" w:type="pct"/>
            <w:tcBorders>
              <w:top w:val="nil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7053A7" w:rsidRDefault="005E11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7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3"/>
        <w:gridCol w:w="1266"/>
        <w:gridCol w:w="1140"/>
        <w:gridCol w:w="1330"/>
        <w:gridCol w:w="1011"/>
        <w:gridCol w:w="1457"/>
        <w:gridCol w:w="1130"/>
      </w:tblGrid>
      <w:tr w:rsidR="007053A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λDNA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7053A7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8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6"/>
        <w:gridCol w:w="1986"/>
        <w:gridCol w:w="1986"/>
        <w:gridCol w:w="1987"/>
        <w:gridCol w:w="1991"/>
      </w:tblGrid>
      <w:tr w:rsidR="007053A7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Dcm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CpG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EcoKI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EcoBI</w:t>
            </w:r>
          </w:p>
        </w:tc>
      </w:tr>
      <w:tr w:rsidR="007053A7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7053A7" w:rsidRDefault="005E114B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1535"/>
        <w:gridCol w:w="3040"/>
        <w:gridCol w:w="2180"/>
        <w:gridCol w:w="2238"/>
      </w:tblGrid>
      <w:tr w:rsidR="007053A7">
        <w:trPr>
          <w:trHeight w:val="334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 w:rsidR="007053A7" w:rsidRDefault="007053A7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Thermo Scientiﬁc</w:t>
            </w:r>
          </w:p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FastDigest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7053A7">
        <w:trPr>
          <w:trHeight w:val="334"/>
        </w:trPr>
        <w:tc>
          <w:tcPr>
            <w:tcW w:w="482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771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7053A7" w:rsidRDefault="005E114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  <w:r>
              <w:rPr>
                <w:rFonts w:ascii="Times New Roman" w:hAnsi="Times New Roman" w:cs="Times New Roman"/>
                <w:sz w:val="24"/>
              </w:rPr>
              <w:t>%</w:t>
            </w:r>
          </w:p>
        </w:tc>
      </w:tr>
    </w:tbl>
    <w:p w:rsidR="007053A7" w:rsidRDefault="005E114B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注：活性数据来自三狮生物限制酶标准反应体系下的检测。</w:t>
      </w:r>
    </w:p>
    <w:sectPr w:rsidR="007053A7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14B" w:rsidRDefault="005E114B">
      <w:r>
        <w:separator/>
      </w:r>
    </w:p>
  </w:endnote>
  <w:endnote w:type="continuationSeparator" w:id="0">
    <w:p w:rsidR="005E114B" w:rsidRDefault="005E1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14B" w:rsidRDefault="005E114B">
      <w:r>
        <w:separator/>
      </w:r>
    </w:p>
  </w:footnote>
  <w:footnote w:type="continuationSeparator" w:id="0">
    <w:p w:rsidR="005E114B" w:rsidRDefault="005E1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3A7" w:rsidRDefault="005E114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053A7"/>
    <w:rsid w:val="000A71EE"/>
    <w:rsid w:val="00583230"/>
    <w:rsid w:val="005E114B"/>
    <w:rsid w:val="007053A7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B93F98"/>
    <w:rsid w:val="438F528D"/>
    <w:rsid w:val="448B4882"/>
    <w:rsid w:val="487603F4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280BAB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0938D3E644A248AC813D0C5715E40D5A</vt:lpwstr>
  </property>
</Properties>
</file>