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70B9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70B9B" w:rsidRDefault="00CA107F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70B9B" w:rsidRDefault="00CA107F" w:rsidP="003C19EF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羊源性</w:t>
      </w:r>
      <w:proofErr w:type="gramEnd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270B9B" w:rsidRDefault="00CA107F" w:rsidP="003C19E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AN220800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针对</w:t>
      </w:r>
      <w:r>
        <w:rPr>
          <w:rFonts w:ascii="Times New Roman" w:eastAsia="宋体" w:hAnsi="Times New Roman" w:cs="Times New Roman" w:hint="eastAsia"/>
          <w:sz w:val="24"/>
          <w:lang w:bidi="ar"/>
        </w:rPr>
        <w:t>羊源</w:t>
      </w:r>
      <w:r>
        <w:rPr>
          <w:rFonts w:ascii="Times New Roman" w:eastAsia="宋体" w:hAnsi="Times New Roman" w:cs="Times New Roman"/>
          <w:sz w:val="24"/>
          <w:lang w:bidi="ar"/>
        </w:rPr>
        <w:t>性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中</w:t>
      </w:r>
      <w:r>
        <w:rPr>
          <w:rFonts w:ascii="Times New Roman" w:eastAsia="宋体" w:hAnsi="Times New Roman" w:cs="Times New Roman" w:hint="eastAsia"/>
          <w:sz w:val="24"/>
          <w:lang w:bidi="ar"/>
        </w:rPr>
        <w:t>羊源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性成分核酸进行定性及定量检测。</w:t>
      </w:r>
    </w:p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270B9B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270B9B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1150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270B9B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μL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200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270B9B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70B9B" w:rsidRDefault="00CA107F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1mL</w:t>
            </w:r>
          </w:p>
        </w:tc>
      </w:tr>
    </w:tbl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270B9B" w:rsidRDefault="00CA107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270B9B" w:rsidRDefault="00CA107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270B9B" w:rsidRDefault="00CA107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液充分吹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反应液至每个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270B9B" w:rsidRDefault="00CA107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270B9B" w:rsidRDefault="00CA107F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对羊源性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成分进行定量检测，具体方案请与厂家联系。</w:t>
      </w:r>
    </w:p>
    <w:p w:rsidR="00270B9B" w:rsidRDefault="00CA107F" w:rsidP="003C19E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为非含动物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源性成分，与获取的核酸质量密切相关，核酸样本质量不合格、样本核酸载量过低或核酸提取（检测）不成功亦会产生“阴性”结果。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270B9B" w:rsidRDefault="00CA107F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270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7F" w:rsidRDefault="00CA107F">
      <w:r>
        <w:separator/>
      </w:r>
    </w:p>
  </w:endnote>
  <w:endnote w:type="continuationSeparator" w:id="0">
    <w:p w:rsidR="00CA107F" w:rsidRDefault="00CA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EF" w:rsidRDefault="003C19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B" w:rsidRDefault="00270B9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EF" w:rsidRDefault="003C19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7F" w:rsidRDefault="00CA107F">
      <w:r>
        <w:separator/>
      </w:r>
    </w:p>
  </w:footnote>
  <w:footnote w:type="continuationSeparator" w:id="0">
    <w:p w:rsidR="00CA107F" w:rsidRDefault="00CA1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EF" w:rsidRDefault="003C19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B" w:rsidRDefault="00CA107F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EF" w:rsidRDefault="003C19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70B9B"/>
    <w:rsid w:val="000A71EE"/>
    <w:rsid w:val="00270B9B"/>
    <w:rsid w:val="003C19EF"/>
    <w:rsid w:val="00CA107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7824C23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202824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6F5BD8"/>
    <w:rsid w:val="519D1BB8"/>
    <w:rsid w:val="51DD405E"/>
    <w:rsid w:val="53277CA7"/>
    <w:rsid w:val="538C5F06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88201E573D054D96B56371859F4FE4BC</vt:lpwstr>
  </property>
</Properties>
</file>